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76553" w14:textId="1CFBC189" w:rsidR="001E453F" w:rsidRDefault="00BD57BA">
      <w:pPr>
        <w:pStyle w:val="3GPPHeader"/>
      </w:pPr>
      <w:bookmarkStart w:id="0" w:name="OLE_LINK67"/>
      <w:r>
        <w:t>3GPP TSG RAN WG1 Meeting #120</w:t>
      </w:r>
      <w:r w:rsidR="00F53601">
        <w:t>-bis</w:t>
      </w:r>
      <w:r>
        <w:tab/>
      </w:r>
      <w:bookmarkStart w:id="1" w:name="OLE_LINK88"/>
      <w:bookmarkStart w:id="2" w:name="OLE_LINK87"/>
      <w:r w:rsidR="00D20CB2">
        <w:t>R1-250</w:t>
      </w:r>
      <w:bookmarkEnd w:id="1"/>
      <w:r w:rsidR="00F53601">
        <w:t>2712</w:t>
      </w:r>
    </w:p>
    <w:p w14:paraId="040CA410" w14:textId="77777777" w:rsidR="00F53601" w:rsidRDefault="00F53601" w:rsidP="00F53601">
      <w:pPr>
        <w:pStyle w:val="3GPPHeader"/>
      </w:pPr>
      <w:bookmarkStart w:id="3" w:name="OLE_LINK111"/>
      <w:bookmarkEnd w:id="2"/>
      <w:r>
        <w:t>Wuhan, China, April 7</w:t>
      </w:r>
      <w:bookmarkStart w:id="4" w:name="OLE_LINK93"/>
      <w:r>
        <w:t>th</w:t>
      </w:r>
      <w:bookmarkEnd w:id="4"/>
      <w:r>
        <w:t xml:space="preserve"> – 11th, 2025</w:t>
      </w:r>
      <w:bookmarkEnd w:id="3"/>
    </w:p>
    <w:p w14:paraId="10AB7C06" w14:textId="77777777" w:rsidR="001E453F" w:rsidRDefault="001E453F"/>
    <w:p w14:paraId="1DC1AA14" w14:textId="77777777" w:rsidR="001E453F" w:rsidRDefault="00BD57BA">
      <w:pPr>
        <w:pStyle w:val="3GPPHeader"/>
      </w:pPr>
      <w:r>
        <w:t>Source:</w:t>
      </w:r>
      <w:r>
        <w:tab/>
        <w:t>MediaTek Inc.</w:t>
      </w:r>
    </w:p>
    <w:p w14:paraId="29A68813" w14:textId="77777777" w:rsidR="001E453F" w:rsidRDefault="00BD57BA">
      <w:pPr>
        <w:pStyle w:val="3GPPHeader"/>
      </w:pPr>
      <w:r>
        <w:t>Title:</w:t>
      </w:r>
      <w:r>
        <w:tab/>
        <w:t>LP-WUS operation in IDLE INACTIVE modes</w:t>
      </w:r>
    </w:p>
    <w:p w14:paraId="74BF0D54" w14:textId="77777777" w:rsidR="001E453F" w:rsidRDefault="00BD57BA">
      <w:pPr>
        <w:pStyle w:val="3GPPHeader"/>
      </w:pPr>
      <w:r>
        <w:t>Agenda item:</w:t>
      </w:r>
      <w:r>
        <w:tab/>
        <w:t>9.6.2</w:t>
      </w:r>
    </w:p>
    <w:p w14:paraId="606F33D8" w14:textId="5DADE563" w:rsidR="001E453F" w:rsidRDefault="00BD57BA">
      <w:pPr>
        <w:pStyle w:val="3GPPHeader"/>
      </w:pPr>
      <w:r>
        <w:t>Document for:</w:t>
      </w:r>
      <w:r>
        <w:tab/>
        <w:t>Discussion</w:t>
      </w:r>
      <w:r w:rsidR="00D20CB2">
        <w:t xml:space="preserve"> and discussion</w:t>
      </w:r>
    </w:p>
    <w:p w14:paraId="2524C7B4" w14:textId="77777777" w:rsidR="001E453F" w:rsidRDefault="001E453F"/>
    <w:p w14:paraId="0F0DFCE4" w14:textId="77777777" w:rsidR="001E453F" w:rsidRDefault="00BD57BA">
      <w:pPr>
        <w:pStyle w:val="Heading1"/>
      </w:pPr>
      <w:r>
        <w:t>Introduction</w:t>
      </w:r>
    </w:p>
    <w:p w14:paraId="28E4F4B4" w14:textId="4E2457B9" w:rsidR="005E30E5" w:rsidRDefault="00ED6049" w:rsidP="0044449F">
      <w:r>
        <w:t xml:space="preserve">In this contribution, </w:t>
      </w:r>
      <w:r w:rsidR="005E30E5">
        <w:t xml:space="preserve">the following remaining issues </w:t>
      </w:r>
      <w:r w:rsidR="0091744E">
        <w:t>are to be</w:t>
      </w:r>
      <w:r w:rsidR="005E30E5">
        <w:t xml:space="preserve"> investigated</w:t>
      </w:r>
      <w:r w:rsidR="0091744E">
        <w:t xml:space="preserve"> and resolved:</w:t>
      </w:r>
    </w:p>
    <w:p w14:paraId="7ACA7089" w14:textId="15D2AA02" w:rsidR="000218C6" w:rsidRDefault="00850417" w:rsidP="005E30E5">
      <w:pPr>
        <w:pStyle w:val="ListParagraph"/>
        <w:numPr>
          <w:ilvl w:val="0"/>
          <w:numId w:val="27"/>
        </w:numPr>
      </w:pPr>
      <w:r>
        <w:t>Section 2: R</w:t>
      </w:r>
      <w:r w:rsidR="000218C6">
        <w:t>emaining issues on MO design for LP-WUS</w:t>
      </w:r>
    </w:p>
    <w:p w14:paraId="7BC062CF" w14:textId="329E37AB" w:rsidR="00ED6049" w:rsidRDefault="005E30E5" w:rsidP="000218C6">
      <w:pPr>
        <w:pStyle w:val="ListParagraph"/>
        <w:numPr>
          <w:ilvl w:val="1"/>
          <w:numId w:val="27"/>
        </w:numPr>
      </w:pPr>
      <w:r w:rsidRPr="005E30E5">
        <w:t>LO/MO Occasion Configuration Details</w:t>
      </w:r>
    </w:p>
    <w:p w14:paraId="6AFEE90E" w14:textId="6F8EE269" w:rsidR="005E30E5" w:rsidRDefault="005E30E5" w:rsidP="000218C6">
      <w:pPr>
        <w:pStyle w:val="ListParagraph"/>
        <w:numPr>
          <w:ilvl w:val="1"/>
          <w:numId w:val="27"/>
        </w:numPr>
      </w:pPr>
      <w:r w:rsidRPr="005E30E5">
        <w:t>Multiple Paging Occasions Mapped to One LO</w:t>
      </w:r>
    </w:p>
    <w:p w14:paraId="48253162" w14:textId="52394D4B" w:rsidR="005E30E5" w:rsidRDefault="005E30E5" w:rsidP="000218C6">
      <w:pPr>
        <w:pStyle w:val="ListParagraph"/>
        <w:numPr>
          <w:ilvl w:val="1"/>
          <w:numId w:val="27"/>
        </w:numPr>
      </w:pPr>
      <w:r w:rsidRPr="005E30E5">
        <w:t>Third Offset Value Between LO and Paging Frame (PF)</w:t>
      </w:r>
    </w:p>
    <w:p w14:paraId="1DA3DE92" w14:textId="4D5EA692" w:rsidR="000218C6" w:rsidRDefault="00850417" w:rsidP="005E30E5">
      <w:pPr>
        <w:pStyle w:val="ListParagraph"/>
        <w:numPr>
          <w:ilvl w:val="0"/>
          <w:numId w:val="27"/>
        </w:numPr>
      </w:pPr>
      <w:bookmarkStart w:id="5" w:name="OLE_LINK56"/>
      <w:r>
        <w:t xml:space="preserve">Section 3: </w:t>
      </w:r>
      <w:r w:rsidR="000218C6">
        <w:t xml:space="preserve">Remaining issues on power reference and measurements </w:t>
      </w:r>
      <w:bookmarkEnd w:id="5"/>
    </w:p>
    <w:p w14:paraId="54C4A020" w14:textId="0FB7EA4A" w:rsidR="005E30E5" w:rsidRDefault="005E30E5" w:rsidP="000218C6">
      <w:pPr>
        <w:pStyle w:val="ListParagraph"/>
        <w:numPr>
          <w:ilvl w:val="1"/>
          <w:numId w:val="27"/>
        </w:numPr>
      </w:pPr>
      <w:r w:rsidRPr="005E30E5">
        <w:t>Common vs. Separate EPRE Configuration for LP-WUS and LP-SS</w:t>
      </w:r>
    </w:p>
    <w:p w14:paraId="44AD7956" w14:textId="77777777" w:rsidR="000218C6" w:rsidRDefault="000218C6" w:rsidP="000218C6">
      <w:pPr>
        <w:pStyle w:val="ListParagraph"/>
        <w:numPr>
          <w:ilvl w:val="1"/>
          <w:numId w:val="27"/>
        </w:numPr>
      </w:pPr>
      <w:r>
        <w:t>LP-SSS Measurement Window vs. SMTC Restriction</w:t>
      </w:r>
    </w:p>
    <w:p w14:paraId="55789BC8" w14:textId="5A1FB8E5" w:rsidR="000218C6" w:rsidRDefault="000218C6" w:rsidP="000218C6">
      <w:pPr>
        <w:pStyle w:val="ListParagraph"/>
        <w:numPr>
          <w:ilvl w:val="1"/>
          <w:numId w:val="27"/>
        </w:numPr>
      </w:pPr>
      <w:r>
        <w:t>Applicability of LP-SS Based RSRP/RSRQ Definitions to an OFDM-Based WUR</w:t>
      </w:r>
    </w:p>
    <w:p w14:paraId="4AA46035" w14:textId="7D295930" w:rsidR="000218C6" w:rsidRDefault="00850417" w:rsidP="005E30E5">
      <w:pPr>
        <w:pStyle w:val="ListParagraph"/>
        <w:numPr>
          <w:ilvl w:val="0"/>
          <w:numId w:val="27"/>
        </w:numPr>
      </w:pPr>
      <w:r>
        <w:t xml:space="preserve">Section 4: </w:t>
      </w:r>
      <w:bookmarkStart w:id="6" w:name="OLE_LINK108"/>
      <w:r w:rsidR="000218C6">
        <w:t>Remaining issues on LP-WUS and LP-SS association</w:t>
      </w:r>
      <w:bookmarkEnd w:id="6"/>
    </w:p>
    <w:p w14:paraId="69BFDB01" w14:textId="39B4CA9B" w:rsidR="005E30E5" w:rsidRDefault="005E30E5" w:rsidP="000218C6">
      <w:pPr>
        <w:pStyle w:val="ListParagraph"/>
        <w:numPr>
          <w:ilvl w:val="1"/>
          <w:numId w:val="27"/>
        </w:numPr>
      </w:pPr>
      <w:r w:rsidRPr="005E30E5">
        <w:t>QCL Association for LP-WUS/LP-SS Signals</w:t>
      </w:r>
    </w:p>
    <w:p w14:paraId="28F48D4C" w14:textId="32F247C7" w:rsidR="00850417" w:rsidRDefault="005E30E5" w:rsidP="0044449F">
      <w:pPr>
        <w:pStyle w:val="ListParagraph"/>
        <w:numPr>
          <w:ilvl w:val="1"/>
          <w:numId w:val="27"/>
        </w:numPr>
      </w:pPr>
      <w:r w:rsidRPr="005E30E5">
        <w:t>Mapping Between LP-WUS/LP-SS Beams and SSB Beams</w:t>
      </w:r>
    </w:p>
    <w:p w14:paraId="25C23068" w14:textId="77777777" w:rsidR="00F53601" w:rsidRPr="00F53601" w:rsidRDefault="00F53601" w:rsidP="00F53601">
      <w:pPr>
        <w:pStyle w:val="ListParagraph"/>
        <w:numPr>
          <w:ilvl w:val="0"/>
          <w:numId w:val="0"/>
        </w:numPr>
        <w:ind w:left="1440"/>
      </w:pPr>
    </w:p>
    <w:p w14:paraId="00E33D7B" w14:textId="77777777" w:rsidR="000218C6" w:rsidRDefault="000218C6" w:rsidP="000218C6">
      <w:pPr>
        <w:rPr>
          <w:rFonts w:eastAsia="新細明體"/>
          <w:lang w:eastAsia="zh-TW"/>
        </w:rPr>
      </w:pPr>
      <w:bookmarkStart w:id="7" w:name="OLE_LINK54"/>
      <w:bookmarkStart w:id="8" w:name="OLE_LINK55"/>
    </w:p>
    <w:p w14:paraId="69E5E947" w14:textId="12F53DD0" w:rsidR="00ED6049" w:rsidRPr="00F53601" w:rsidRDefault="000218C6" w:rsidP="0044449F">
      <w:pPr>
        <w:pStyle w:val="Heading1"/>
      </w:pPr>
      <w:r>
        <w:t>R</w:t>
      </w:r>
      <w:bookmarkEnd w:id="7"/>
      <w:r>
        <w:t>emaining issues on MO design for LP-WUS</w:t>
      </w:r>
      <w:bookmarkEnd w:id="8"/>
    </w:p>
    <w:p w14:paraId="3BAE6C4F" w14:textId="20989D86" w:rsidR="0044449F" w:rsidRPr="0044449F" w:rsidRDefault="008626F2" w:rsidP="00850417">
      <w:pPr>
        <w:pStyle w:val="Heading2"/>
        <w:rPr>
          <w:lang w:eastAsia="zh-TW"/>
        </w:rPr>
      </w:pPr>
      <w:bookmarkStart w:id="9" w:name="OLE_LINK98"/>
      <w:r w:rsidRPr="008626F2">
        <w:rPr>
          <w:lang w:eastAsia="zh-TW"/>
        </w:rPr>
        <w:t>LO/MO Occasion Configurations</w:t>
      </w:r>
    </w:p>
    <w:p w14:paraId="653D1CE4" w14:textId="76EE1253" w:rsidR="008626F2" w:rsidRPr="008626F2" w:rsidRDefault="008626F2" w:rsidP="008626F2">
      <w:pPr>
        <w:rPr>
          <w:rFonts w:eastAsia="新細明體"/>
          <w:lang w:eastAsia="zh-TW"/>
        </w:rPr>
      </w:pPr>
      <w:bookmarkStart w:id="10" w:name="OLE_LINK47"/>
      <w:bookmarkEnd w:id="9"/>
      <w:r w:rsidRPr="008626F2">
        <w:rPr>
          <w:rFonts w:eastAsia="新細明體"/>
          <w:lang w:eastAsia="zh-TW"/>
        </w:rPr>
        <w:t>This issue focuses on clarifying detailed configurations for LP-WUS occasions (LOs) and monitoring occasions (MOs), particularly addressing whether a monitoring occasion should be confined within one slot, whether it must be contiguous in time, whether repetitions of the same WUS across multiple MOs within an LO should be supported, and how to configure multiple MOs per LO.</w:t>
      </w:r>
    </w:p>
    <w:p w14:paraId="748A3396" w14:textId="2641E095" w:rsidR="008626F2" w:rsidRPr="008626F2" w:rsidRDefault="008626F2" w:rsidP="008626F2">
      <w:pPr>
        <w:rPr>
          <w:rFonts w:eastAsia="新細明體"/>
          <w:lang w:eastAsia="zh-TW"/>
        </w:rPr>
      </w:pPr>
      <w:r>
        <w:rPr>
          <w:rFonts w:eastAsia="新細明體"/>
          <w:b/>
          <w:bCs/>
          <w:lang w:eastAsia="zh-TW"/>
        </w:rPr>
        <w:br/>
      </w:r>
      <w:r w:rsidRPr="008626F2">
        <w:rPr>
          <w:rFonts w:eastAsia="新細明體"/>
          <w:lang w:eastAsia="zh-TW"/>
        </w:rPr>
        <w:t xml:space="preserve">Considering the NR frame structure and DRX mechanisms, keeping MOs within a single slot significantly simplifies UE timing alignment and processing complexity. Observation clearly indicates that discontinuous or multi-slot MOs unnecessarily complicate UE implementation without notable performance gains. Repetition of identical WUS signals across multiple MOs within one LO is beneficial, providing enhanced detection reliability, particularly at cell edges or in challenging radio conditions. However, excessive repetitions introduce undue signaling overhead. Thus, allowing a modest level of repetition (e.g., two repetitions per LO) strikes an effective balance. Additionally, explicit RRC configuration of multiple MOs per LO ensures unambiguous timing and management by both UE and network, facilitating multi-beam management and flexibility.  </w:t>
      </w:r>
    </w:p>
    <w:p w14:paraId="4F9223F2" w14:textId="70E09B8B" w:rsidR="008626F2" w:rsidRPr="008626F2" w:rsidRDefault="008626F2" w:rsidP="008626F2">
      <w:pPr>
        <w:pStyle w:val="Caption"/>
        <w:jc w:val="left"/>
        <w:rPr>
          <w:rFonts w:eastAsia="新細明體"/>
          <w:lang w:eastAsia="zh-TW"/>
        </w:rPr>
      </w:pPr>
      <w:r>
        <w:br/>
      </w:r>
      <w:bookmarkStart w:id="11" w:name="_Ref194109070"/>
      <w:r>
        <w:t xml:space="preserve">Observation </w:t>
      </w:r>
      <w:fldSimple w:instr=" SEQ Observation \* ARABIC ">
        <w:r w:rsidR="00DA7A9B">
          <w:rPr>
            <w:noProof/>
          </w:rPr>
          <w:t>1</w:t>
        </w:r>
      </w:fldSimple>
      <w:r>
        <w:t xml:space="preserve">: </w:t>
      </w:r>
      <w:r w:rsidRPr="008626F2">
        <w:rPr>
          <w:rFonts w:eastAsia="新細明體"/>
          <w:lang w:eastAsia="zh-TW"/>
        </w:rPr>
        <w:t>Limiting MOs to a single contiguous slot simplifies implementation; moderate repetition enhances detection reliability without excessive overhead; multiple MOs configured via RRC provide clarity and flexibility.</w:t>
      </w:r>
      <w:bookmarkEnd w:id="11"/>
    </w:p>
    <w:p w14:paraId="356982C2" w14:textId="77777777" w:rsidR="008626F2" w:rsidRPr="008626F2" w:rsidRDefault="008626F2" w:rsidP="008626F2">
      <w:pPr>
        <w:rPr>
          <w:rFonts w:eastAsia="新細明體"/>
          <w:lang w:eastAsia="zh-TW"/>
        </w:rPr>
      </w:pPr>
      <w:r w:rsidRPr="008626F2">
        <w:rPr>
          <w:rFonts w:eastAsia="新細明體"/>
          <w:lang w:eastAsia="zh-TW"/>
        </w:rPr>
        <w:lastRenderedPageBreak/>
        <w:t xml:space="preserve">The monitoring occasions shall be explicitly confined within one slot and maintained as contiguous blocks in time. It is recommended to support a limited repetition (up to two identical MOs per LO) to improve reliability without introducing excessive overhead. Multiple MOs per LO should be explicitly RRC-configured, defining both the number and timing offsets to facilitate clear and efficient operation.  </w:t>
      </w:r>
    </w:p>
    <w:p w14:paraId="053562B7" w14:textId="2B4C176C" w:rsidR="008626F2" w:rsidRPr="008626F2" w:rsidRDefault="008626F2" w:rsidP="008626F2">
      <w:pPr>
        <w:pStyle w:val="Caption"/>
        <w:jc w:val="left"/>
        <w:rPr>
          <w:rFonts w:eastAsia="新細明體"/>
          <w:lang w:eastAsia="zh-TW"/>
        </w:rPr>
      </w:pPr>
      <w:r>
        <w:br/>
      </w:r>
      <w:bookmarkStart w:id="12" w:name="_Ref194109123"/>
      <w:r>
        <w:t xml:space="preserve">Proposal </w:t>
      </w:r>
      <w:fldSimple w:instr=" SEQ Proposal \* ARABIC ">
        <w:r w:rsidR="00DA7A9B">
          <w:rPr>
            <w:noProof/>
          </w:rPr>
          <w:t>1</w:t>
        </w:r>
      </w:fldSimple>
      <w:r>
        <w:t xml:space="preserve">: </w:t>
      </w:r>
      <w:r w:rsidRPr="008626F2">
        <w:rPr>
          <w:rFonts w:eastAsia="新細明體"/>
          <w:lang w:eastAsia="zh-TW"/>
        </w:rPr>
        <w:t>Fix MOs to a single slot, allow up to two identical repetitions per LO, and ensure explicit RRC-based configuration of multiple MOs for straightforward management.</w:t>
      </w:r>
      <w:bookmarkEnd w:id="12"/>
    </w:p>
    <w:p w14:paraId="5953A805" w14:textId="77777777" w:rsidR="008626F2" w:rsidRPr="008626F2" w:rsidRDefault="008626F2" w:rsidP="008626F2">
      <w:pPr>
        <w:rPr>
          <w:rFonts w:eastAsia="新細明體"/>
          <w:b/>
          <w:bCs/>
          <w:lang w:eastAsia="zh-TW"/>
        </w:rPr>
      </w:pPr>
    </w:p>
    <w:bookmarkEnd w:id="10"/>
    <w:p w14:paraId="4339E1C0" w14:textId="52C5BA7A" w:rsidR="0044449F" w:rsidRPr="0044449F" w:rsidRDefault="008626F2" w:rsidP="00850417">
      <w:pPr>
        <w:pStyle w:val="Heading2"/>
        <w:rPr>
          <w:lang w:eastAsia="zh-TW"/>
        </w:rPr>
      </w:pPr>
      <w:r w:rsidRPr="008626F2">
        <w:rPr>
          <w:lang w:eastAsia="zh-TW"/>
        </w:rPr>
        <w:t>Support for Multiple POs to One LO</w:t>
      </w:r>
    </w:p>
    <w:p w14:paraId="4F06ABB3" w14:textId="77777777" w:rsidR="008626F2" w:rsidRPr="008626F2" w:rsidRDefault="008626F2" w:rsidP="008626F2">
      <w:pPr>
        <w:rPr>
          <w:rFonts w:eastAsia="新細明體"/>
          <w:lang w:eastAsia="zh-TW"/>
        </w:rPr>
      </w:pPr>
      <w:bookmarkStart w:id="13" w:name="OLE_LINK48"/>
      <w:r w:rsidRPr="008626F2">
        <w:rPr>
          <w:rFonts w:eastAsia="新細明體"/>
          <w:lang w:eastAsia="zh-TW"/>
        </w:rPr>
        <w:t>This issue involves determining the feasibility and specification for mapping multiple paging occasions (POs) to a single LP-WUS occasion (LO</w:t>
      </w:r>
      <w:proofErr w:type="gramStart"/>
      <w:r w:rsidRPr="008626F2">
        <w:rPr>
          <w:rFonts w:eastAsia="新細明體"/>
          <w:lang w:eastAsia="zh-TW"/>
        </w:rPr>
        <w:t>), and</w:t>
      </w:r>
      <w:proofErr w:type="gramEnd"/>
      <w:r w:rsidRPr="008626F2">
        <w:rPr>
          <w:rFonts w:eastAsia="新細明體"/>
          <w:lang w:eastAsia="zh-TW"/>
        </w:rPr>
        <w:t xml:space="preserve"> clarifying the maximum allowable number of POs per LO.</w:t>
      </w:r>
    </w:p>
    <w:p w14:paraId="4BFAE131" w14:textId="7D1E9A60" w:rsidR="008626F2" w:rsidRPr="008626F2" w:rsidRDefault="008626F2" w:rsidP="008626F2">
      <w:pPr>
        <w:rPr>
          <w:rFonts w:eastAsia="新細明體"/>
          <w:lang w:eastAsia="zh-TW"/>
        </w:rPr>
      </w:pPr>
      <w:r>
        <w:rPr>
          <w:rFonts w:eastAsia="新細明體"/>
          <w:lang w:eastAsia="zh-TW"/>
        </w:rPr>
        <w:br/>
      </w:r>
      <w:r w:rsidRPr="008626F2">
        <w:rPr>
          <w:rFonts w:eastAsia="新細明體"/>
          <w:lang w:eastAsia="zh-TW"/>
        </w:rPr>
        <w:t>Mapping several POs to one LO is beneficial, particularly for extended DRX (</w:t>
      </w:r>
      <w:proofErr w:type="spellStart"/>
      <w:r w:rsidRPr="008626F2">
        <w:rPr>
          <w:rFonts w:eastAsia="新細明體"/>
          <w:lang w:eastAsia="zh-TW"/>
        </w:rPr>
        <w:t>eDRX</w:t>
      </w:r>
      <w:proofErr w:type="spellEnd"/>
      <w:r w:rsidRPr="008626F2">
        <w:rPr>
          <w:rFonts w:eastAsia="新細明體"/>
          <w:lang w:eastAsia="zh-TW"/>
        </w:rPr>
        <w:t>) scenarios, where infrequent LO signaling can efficiently indicate multiple potential paging opportunities. Technical observations highlight that supporting more than two POs per LO increases UE active time, potentially counteracting power savings. Thus, allowing a limited number of POs per LO (e.g., two) achieves optimal balance, accommodating essential paging flexibility without substantially affecting UE battery life. Furthermore, coordination with RAN2 is critical to align paging scheduling mechanisms clearly with such mappings.</w:t>
      </w:r>
    </w:p>
    <w:p w14:paraId="2ED626E4" w14:textId="44EEBBD9" w:rsidR="008626F2" w:rsidRPr="008626F2" w:rsidRDefault="008626F2" w:rsidP="008626F2">
      <w:pPr>
        <w:pStyle w:val="Caption"/>
        <w:jc w:val="left"/>
        <w:rPr>
          <w:rFonts w:eastAsia="新細明體"/>
          <w:lang w:eastAsia="zh-TW"/>
        </w:rPr>
      </w:pPr>
      <w:r>
        <w:rPr>
          <w:rFonts w:eastAsia="新細明體"/>
          <w:lang w:eastAsia="zh-TW"/>
        </w:rPr>
        <w:br/>
      </w:r>
      <w:bookmarkStart w:id="14" w:name="_Ref194109077"/>
      <w:r>
        <w:t xml:space="preserve">Observation </w:t>
      </w:r>
      <w:fldSimple w:instr=" SEQ Observation \* ARABIC ">
        <w:r w:rsidR="00DA7A9B">
          <w:rPr>
            <w:noProof/>
          </w:rPr>
          <w:t>2</w:t>
        </w:r>
      </w:fldSimple>
      <w:r>
        <w:t xml:space="preserve">: </w:t>
      </w:r>
      <w:r w:rsidRPr="008626F2">
        <w:rPr>
          <w:rFonts w:eastAsia="新細明體"/>
          <w:lang w:eastAsia="zh-TW"/>
        </w:rPr>
        <w:t xml:space="preserve">Multiple POs per LO can enhance </w:t>
      </w:r>
      <w:proofErr w:type="spellStart"/>
      <w:r w:rsidRPr="008626F2">
        <w:rPr>
          <w:rFonts w:eastAsia="新細明體"/>
          <w:lang w:eastAsia="zh-TW"/>
        </w:rPr>
        <w:t>eDRX</w:t>
      </w:r>
      <w:proofErr w:type="spellEnd"/>
      <w:r w:rsidRPr="008626F2">
        <w:rPr>
          <w:rFonts w:eastAsia="新細明體"/>
          <w:lang w:eastAsia="zh-TW"/>
        </w:rPr>
        <w:t xml:space="preserve"> flexibility but should be limited to two to balance power savings and paging coverage; coordination with RAN2 is vital for smooth scheduling alignment.</w:t>
      </w:r>
      <w:bookmarkEnd w:id="14"/>
    </w:p>
    <w:p w14:paraId="703C6760" w14:textId="2B0ED92F" w:rsidR="008626F2" w:rsidRPr="008626F2" w:rsidRDefault="0091744E" w:rsidP="008626F2">
      <w:pPr>
        <w:rPr>
          <w:rFonts w:eastAsia="新細明體"/>
          <w:lang w:eastAsia="zh-TW"/>
        </w:rPr>
      </w:pPr>
      <w:r>
        <w:rPr>
          <w:rFonts w:eastAsia="新細明體"/>
          <w:lang w:eastAsia="zh-TW"/>
        </w:rPr>
        <w:t>It is suggested to s</w:t>
      </w:r>
      <w:r w:rsidR="008626F2" w:rsidRPr="008626F2">
        <w:rPr>
          <w:rFonts w:eastAsia="新細明體"/>
          <w:lang w:eastAsia="zh-TW"/>
        </w:rPr>
        <w:t>upport a one-to-many mapping of POs to a single LO, recommending a baseline maximum of two POs per LO. Future extensions to a maximum of four POs per LO could be considered only if explicitly justified by future system evaluations. Coordination with RAN2 for proper RRC configuration and paging scheduling strategy is advised to facilitate a robust and efficient paging mechanism.</w:t>
      </w:r>
    </w:p>
    <w:p w14:paraId="5856CD40" w14:textId="77777777" w:rsidR="008626F2" w:rsidRPr="008626F2" w:rsidRDefault="008626F2" w:rsidP="008626F2">
      <w:pPr>
        <w:rPr>
          <w:rFonts w:eastAsia="新細明體"/>
          <w:b/>
          <w:bCs/>
          <w:lang w:eastAsia="zh-TW"/>
        </w:rPr>
      </w:pPr>
    </w:p>
    <w:p w14:paraId="44D986BB" w14:textId="76F97C8A" w:rsidR="00850417" w:rsidRDefault="008626F2" w:rsidP="008626F2">
      <w:pPr>
        <w:pStyle w:val="Caption"/>
        <w:jc w:val="left"/>
        <w:rPr>
          <w:rFonts w:eastAsia="新細明體"/>
          <w:b w:val="0"/>
          <w:bCs w:val="0"/>
          <w:lang w:eastAsia="zh-TW"/>
        </w:rPr>
      </w:pPr>
      <w:bookmarkStart w:id="15" w:name="_Ref194109132"/>
      <w:r>
        <w:t xml:space="preserve">Proposal </w:t>
      </w:r>
      <w:fldSimple w:instr=" SEQ Proposal \* ARABIC ">
        <w:r w:rsidR="00DA7A9B">
          <w:rPr>
            <w:noProof/>
          </w:rPr>
          <w:t>2</w:t>
        </w:r>
      </w:fldSimple>
      <w:r>
        <w:t xml:space="preserve">: </w:t>
      </w:r>
      <w:r w:rsidRPr="008626F2">
        <w:rPr>
          <w:rFonts w:eastAsia="新細明體"/>
          <w:lang w:eastAsia="zh-TW"/>
        </w:rPr>
        <w:t>Permit up to two POs per LO to maintain efficient power usage, with possible expansion to four if justified; coordinate with RAN2 for consistent RRC configuration and paging schedules.</w:t>
      </w:r>
      <w:bookmarkEnd w:id="15"/>
    </w:p>
    <w:p w14:paraId="07136FC4" w14:textId="77777777" w:rsidR="008626F2" w:rsidRDefault="008626F2" w:rsidP="008626F2">
      <w:pPr>
        <w:rPr>
          <w:rFonts w:eastAsia="新細明體"/>
          <w:b/>
          <w:bCs/>
          <w:lang w:eastAsia="zh-TW"/>
        </w:rPr>
      </w:pPr>
    </w:p>
    <w:p w14:paraId="35D910CA" w14:textId="089485B1" w:rsidR="0044449F" w:rsidRPr="0044449F" w:rsidRDefault="0044449F" w:rsidP="00850417">
      <w:pPr>
        <w:pStyle w:val="Heading2"/>
        <w:rPr>
          <w:lang w:eastAsia="zh-TW"/>
        </w:rPr>
      </w:pPr>
      <w:r w:rsidRPr="0044449F">
        <w:rPr>
          <w:lang w:eastAsia="zh-TW"/>
        </w:rPr>
        <w:t>Third Offset Value Between LO and Paging Frame (PF)</w:t>
      </w:r>
      <w:bookmarkEnd w:id="13"/>
    </w:p>
    <w:p w14:paraId="443CD8A4" w14:textId="77777777" w:rsidR="008626F2" w:rsidRPr="008626F2" w:rsidRDefault="008626F2" w:rsidP="008626F2">
      <w:pPr>
        <w:rPr>
          <w:rFonts w:eastAsia="新細明體"/>
          <w:lang w:eastAsia="zh-TW"/>
        </w:rPr>
      </w:pPr>
      <w:bookmarkStart w:id="16" w:name="OLE_LINK49"/>
      <w:r w:rsidRPr="008626F2">
        <w:rPr>
          <w:rFonts w:eastAsia="新細明體"/>
          <w:lang w:eastAsia="zh-TW"/>
        </w:rPr>
        <w:t>This issue discusses whether a third distinct offset parameter between the LP-WUS occasion (LO) and the Paging Frame (PF) is necessary, beyond the two existing offset parameters under consideration.</w:t>
      </w:r>
    </w:p>
    <w:p w14:paraId="65FCE600" w14:textId="7443366D" w:rsidR="008626F2" w:rsidRPr="008626F2" w:rsidRDefault="008626F2" w:rsidP="008626F2">
      <w:pPr>
        <w:rPr>
          <w:rFonts w:eastAsia="新細明體"/>
          <w:lang w:eastAsia="zh-TW"/>
        </w:rPr>
      </w:pPr>
      <w:r>
        <w:rPr>
          <w:rFonts w:eastAsia="新細明體"/>
          <w:lang w:eastAsia="zh-TW"/>
        </w:rPr>
        <w:br/>
      </w:r>
      <w:r w:rsidRPr="008626F2">
        <w:rPr>
          <w:rFonts w:eastAsia="新細明體"/>
          <w:lang w:eastAsia="zh-TW"/>
        </w:rPr>
        <w:t>Current configurations involving two offset parameters—one aligning LO periodicity relative to DRX/PF cycle, and another defining the WUS transmission timing ahead of the PO—provide adequate flexibility. Analysis reveals no compelling scenario necessitating an additional third offset. Introducing a third offset would add unnecessary configuration complexity and signaling overhead without demonstrable benefits. The flexibility of existing offsets already sufficiently supports various UE wake-up latency and DRX alignment scenarios.</w:t>
      </w:r>
    </w:p>
    <w:p w14:paraId="32108A15" w14:textId="77777777" w:rsidR="008626F2" w:rsidRPr="008626F2" w:rsidRDefault="008626F2" w:rsidP="008626F2">
      <w:pPr>
        <w:rPr>
          <w:rFonts w:eastAsia="新細明體"/>
          <w:b/>
          <w:bCs/>
          <w:lang w:eastAsia="zh-TW"/>
        </w:rPr>
      </w:pPr>
    </w:p>
    <w:p w14:paraId="3F8E19AD" w14:textId="351031C4" w:rsidR="008626F2" w:rsidRPr="008626F2" w:rsidRDefault="0038551E" w:rsidP="0038551E">
      <w:pPr>
        <w:pStyle w:val="Caption"/>
        <w:jc w:val="left"/>
        <w:rPr>
          <w:rFonts w:eastAsia="新細明體"/>
          <w:lang w:eastAsia="zh-TW"/>
        </w:rPr>
      </w:pPr>
      <w:bookmarkStart w:id="17" w:name="_Ref194109083"/>
      <w:r>
        <w:lastRenderedPageBreak/>
        <w:t xml:space="preserve">Observation </w:t>
      </w:r>
      <w:fldSimple w:instr=" SEQ Observation \* ARABIC ">
        <w:r w:rsidR="00DA7A9B">
          <w:rPr>
            <w:noProof/>
          </w:rPr>
          <w:t>3</w:t>
        </w:r>
      </w:fldSimple>
      <w:r>
        <w:t xml:space="preserve">: </w:t>
      </w:r>
      <w:r w:rsidR="008626F2" w:rsidRPr="008626F2">
        <w:rPr>
          <w:rFonts w:eastAsia="新細明體"/>
          <w:lang w:eastAsia="zh-TW"/>
        </w:rPr>
        <w:t>A third offset adds complexity without benefit; the existing two offsets adequately cover latency and alignment needs.</w:t>
      </w:r>
      <w:bookmarkEnd w:id="17"/>
    </w:p>
    <w:p w14:paraId="7D010DDA" w14:textId="0C6219C3" w:rsidR="008626F2" w:rsidRPr="0038551E" w:rsidRDefault="0091744E" w:rsidP="008626F2">
      <w:pPr>
        <w:rPr>
          <w:rFonts w:eastAsia="新細明體"/>
          <w:lang w:eastAsia="zh-TW"/>
        </w:rPr>
      </w:pPr>
      <w:r>
        <w:rPr>
          <w:rFonts w:eastAsia="新細明體"/>
          <w:lang w:eastAsia="zh-TW"/>
        </w:rPr>
        <w:br/>
      </w:r>
      <w:r w:rsidR="008626F2" w:rsidRPr="0038551E">
        <w:rPr>
          <w:rFonts w:eastAsia="新細明體"/>
          <w:lang w:eastAsia="zh-TW"/>
        </w:rPr>
        <w:t>No third offset parameter should be introduced. The specifications should explicitly clarify the two existing offset parameters: one governing periodic alignment of LO relative to the DRX cycle, and the other specifying the required timing gap between WUS and the associated paging occasion. Additionally, coordination with RAN2 is recommended to enable RRC signaling or UE assistance information to manage varying UE wake-up latencies effectively.</w:t>
      </w:r>
    </w:p>
    <w:p w14:paraId="6511BA1B" w14:textId="66606275" w:rsidR="00850417" w:rsidRPr="0038551E" w:rsidRDefault="0038551E" w:rsidP="0038551E">
      <w:pPr>
        <w:pStyle w:val="Caption"/>
        <w:jc w:val="left"/>
        <w:rPr>
          <w:rFonts w:eastAsia="新細明體"/>
          <w:b w:val="0"/>
          <w:bCs w:val="0"/>
          <w:lang w:eastAsia="zh-TW"/>
        </w:rPr>
      </w:pPr>
      <w:r>
        <w:rPr>
          <w:rFonts w:eastAsia="新細明體"/>
          <w:b w:val="0"/>
          <w:bCs w:val="0"/>
          <w:lang w:eastAsia="zh-TW"/>
        </w:rPr>
        <w:br/>
      </w:r>
      <w:bookmarkStart w:id="18" w:name="_Ref194109149"/>
      <w:r>
        <w:t xml:space="preserve">Proposal </w:t>
      </w:r>
      <w:fldSimple w:instr=" SEQ Proposal \* ARABIC ">
        <w:r w:rsidR="00DA7A9B">
          <w:rPr>
            <w:noProof/>
          </w:rPr>
          <w:t>3</w:t>
        </w:r>
      </w:fldSimple>
      <w:r>
        <w:t xml:space="preserve">: </w:t>
      </w:r>
      <w:r w:rsidR="008626F2" w:rsidRPr="008626F2">
        <w:rPr>
          <w:rFonts w:eastAsia="新細明體"/>
          <w:lang w:eastAsia="zh-TW"/>
        </w:rPr>
        <w:t>Retain only two offsets, clarify their usage, and coordinate with RAN2 to support flexible wake-up scenarios.</w:t>
      </w:r>
      <w:bookmarkEnd w:id="18"/>
    </w:p>
    <w:p w14:paraId="17F03791" w14:textId="77777777" w:rsidR="0038551E" w:rsidRDefault="0038551E" w:rsidP="00850417">
      <w:pPr>
        <w:rPr>
          <w:rFonts w:eastAsia="新細明體"/>
          <w:lang w:eastAsia="zh-TW"/>
        </w:rPr>
      </w:pPr>
    </w:p>
    <w:p w14:paraId="741D86DB" w14:textId="0D3759E5" w:rsidR="00850417" w:rsidRDefault="00850417" w:rsidP="00850417">
      <w:pPr>
        <w:pStyle w:val="Heading1"/>
      </w:pPr>
      <w:r>
        <w:t>Remaining issues on power reference and measurements</w:t>
      </w:r>
    </w:p>
    <w:p w14:paraId="7F6218C0" w14:textId="54BA22E5" w:rsidR="0044449F" w:rsidRPr="0044449F" w:rsidRDefault="0044449F" w:rsidP="00850417">
      <w:pPr>
        <w:pStyle w:val="Heading2"/>
        <w:rPr>
          <w:lang w:eastAsia="zh-TW"/>
        </w:rPr>
      </w:pPr>
      <w:r w:rsidRPr="0044449F">
        <w:rPr>
          <w:lang w:eastAsia="zh-TW"/>
        </w:rPr>
        <w:t>Common vs. Separate EPRE Config</w:t>
      </w:r>
      <w:r w:rsidR="00850417">
        <w:rPr>
          <w:lang w:eastAsia="zh-TW"/>
        </w:rPr>
        <w:t>.</w:t>
      </w:r>
      <w:r w:rsidRPr="0044449F">
        <w:rPr>
          <w:lang w:eastAsia="zh-TW"/>
        </w:rPr>
        <w:t xml:space="preserve"> for LP-WUS and LP-SS</w:t>
      </w:r>
      <w:bookmarkEnd w:id="16"/>
    </w:p>
    <w:p w14:paraId="02CE2284" w14:textId="77777777" w:rsidR="0038551E" w:rsidRPr="0038551E" w:rsidRDefault="0038551E" w:rsidP="0038551E">
      <w:pPr>
        <w:rPr>
          <w:rFonts w:eastAsia="新細明體"/>
          <w:lang w:eastAsia="zh-TW"/>
        </w:rPr>
      </w:pPr>
      <w:bookmarkStart w:id="19" w:name="OLE_LINK50"/>
      <w:r w:rsidRPr="0038551E">
        <w:rPr>
          <w:rFonts w:eastAsia="新細明體"/>
          <w:lang w:eastAsia="zh-TW"/>
        </w:rPr>
        <w:t>The issue seeks to determine whether the energy per resource element (EPRE) power offsets relative to the SSB should be configured jointly or separately for LP-WUS and LP-SS signals.</w:t>
      </w:r>
    </w:p>
    <w:p w14:paraId="4DB25973" w14:textId="3FA81D19" w:rsidR="0038551E" w:rsidRPr="0038551E" w:rsidRDefault="0038551E" w:rsidP="0038551E">
      <w:pPr>
        <w:rPr>
          <w:rFonts w:eastAsia="新細明體"/>
          <w:lang w:eastAsia="zh-TW"/>
        </w:rPr>
      </w:pPr>
      <w:r>
        <w:rPr>
          <w:rFonts w:eastAsia="新細明體"/>
          <w:lang w:eastAsia="zh-TW"/>
        </w:rPr>
        <w:br/>
      </w:r>
      <w:r w:rsidRPr="0038551E">
        <w:rPr>
          <w:rFonts w:eastAsia="新細明體"/>
          <w:lang w:eastAsia="zh-TW"/>
        </w:rPr>
        <w:t>LP-WUS and LP-SS have fundamentally different purposes, with LP-WUS targeting reliable wake-up detection and LP-SS focused on accurate measurement and synchronization. Observations indicate that a common EPRE offset setting may cause suboptimal performance, as it may inadequately balance the conflicting requirements for power efficiency and measurement accuracy. Providing individual EPRE configurations for these signals allows operators optimal flexibility to independently adjust their power levels based on deployment needs and radio conditions, thereby optimizing system performance and energy efficiency.</w:t>
      </w:r>
    </w:p>
    <w:p w14:paraId="7FCD627D" w14:textId="421AF861" w:rsidR="0038551E" w:rsidRPr="0038551E" w:rsidRDefault="0038551E" w:rsidP="0038551E">
      <w:pPr>
        <w:pStyle w:val="Caption"/>
        <w:jc w:val="left"/>
        <w:rPr>
          <w:rFonts w:eastAsia="新細明體"/>
          <w:lang w:eastAsia="zh-TW"/>
        </w:rPr>
      </w:pPr>
      <w:r>
        <w:rPr>
          <w:rFonts w:eastAsia="新細明體"/>
          <w:b w:val="0"/>
          <w:bCs w:val="0"/>
          <w:lang w:eastAsia="zh-TW"/>
        </w:rPr>
        <w:br/>
      </w:r>
      <w:bookmarkStart w:id="20" w:name="_Ref194109092"/>
      <w:r>
        <w:t xml:space="preserve">Observation </w:t>
      </w:r>
      <w:fldSimple w:instr=" SEQ Observation \* ARABIC ">
        <w:r w:rsidR="00DA7A9B">
          <w:rPr>
            <w:noProof/>
          </w:rPr>
          <w:t>4</w:t>
        </w:r>
      </w:fldSimple>
      <w:r>
        <w:t xml:space="preserve">: </w:t>
      </w:r>
      <w:r w:rsidRPr="0038551E">
        <w:rPr>
          <w:rFonts w:eastAsia="新細明體"/>
          <w:lang w:eastAsia="zh-TW"/>
        </w:rPr>
        <w:t>Granting separate EPRE settings for LP-WUS and LP-SS helps balance power efficiency and measurement accuracy, yielding optimal configuration flexibility.</w:t>
      </w:r>
      <w:bookmarkEnd w:id="20"/>
    </w:p>
    <w:p w14:paraId="4DEB6A5F" w14:textId="1F50C5E1" w:rsidR="0038551E" w:rsidRPr="0038551E" w:rsidRDefault="0091744E" w:rsidP="0038551E">
      <w:pPr>
        <w:rPr>
          <w:rFonts w:eastAsia="新細明體"/>
          <w:lang w:eastAsia="zh-TW"/>
        </w:rPr>
      </w:pPr>
      <w:r>
        <w:rPr>
          <w:rFonts w:eastAsia="新細明體"/>
          <w:b/>
          <w:bCs/>
          <w:lang w:eastAsia="zh-TW"/>
        </w:rPr>
        <w:br/>
      </w:r>
      <w:r w:rsidRPr="0091744E">
        <w:rPr>
          <w:rFonts w:eastAsia="新細明體"/>
          <w:lang w:eastAsia="zh-TW"/>
        </w:rPr>
        <w:t>S</w:t>
      </w:r>
      <w:r w:rsidR="0038551E" w:rsidRPr="0038551E">
        <w:rPr>
          <w:rFonts w:eastAsia="新細明體"/>
          <w:lang w:eastAsia="zh-TW"/>
        </w:rPr>
        <w:t>eparate EPRE configurations for LP-WUS and LP-SS signals are strongly recommended to enable independent optimization of each signal's power level relative to the SSB. RAN2 should define separate RRC signaling parameters, while RAN4 should establish separate RF requirements and testing criteria for each signal to ensure performance alignment.</w:t>
      </w:r>
    </w:p>
    <w:p w14:paraId="3DBC03EE" w14:textId="008C696F" w:rsidR="00850417" w:rsidRDefault="0038551E" w:rsidP="0038551E">
      <w:pPr>
        <w:pStyle w:val="Caption"/>
        <w:jc w:val="left"/>
        <w:rPr>
          <w:rFonts w:eastAsia="新細明體"/>
          <w:b w:val="0"/>
          <w:bCs w:val="0"/>
          <w:lang w:eastAsia="zh-TW"/>
        </w:rPr>
      </w:pPr>
      <w:r>
        <w:rPr>
          <w:rFonts w:eastAsia="新細明體"/>
          <w:b w:val="0"/>
          <w:bCs w:val="0"/>
          <w:lang w:eastAsia="zh-TW"/>
        </w:rPr>
        <w:br/>
      </w:r>
      <w:bookmarkStart w:id="21" w:name="_Ref194109166"/>
      <w:r>
        <w:t xml:space="preserve">Proposal </w:t>
      </w:r>
      <w:fldSimple w:instr=" SEQ Proposal \* ARABIC ">
        <w:r w:rsidR="00DA7A9B">
          <w:rPr>
            <w:noProof/>
          </w:rPr>
          <w:t>4</w:t>
        </w:r>
      </w:fldSimple>
      <w:r>
        <w:t xml:space="preserve">: </w:t>
      </w:r>
      <w:r w:rsidRPr="0038551E">
        <w:rPr>
          <w:rFonts w:eastAsia="新細明體"/>
          <w:lang w:eastAsia="zh-TW"/>
        </w:rPr>
        <w:t>Configure EPRE separately for LP-WUS and LP-SS, with distinct RRC and RF parameters enabling independent optimization for power efficiency and measurement reliability.</w:t>
      </w:r>
      <w:bookmarkEnd w:id="21"/>
    </w:p>
    <w:p w14:paraId="37ECA5A8" w14:textId="77777777" w:rsidR="0038551E" w:rsidRDefault="0038551E" w:rsidP="0038551E">
      <w:pPr>
        <w:rPr>
          <w:rFonts w:eastAsia="新細明體"/>
          <w:b/>
          <w:bCs/>
          <w:lang w:eastAsia="zh-TW"/>
        </w:rPr>
      </w:pPr>
    </w:p>
    <w:p w14:paraId="42E8C09C" w14:textId="77777777" w:rsidR="00850417" w:rsidRDefault="00850417" w:rsidP="00850417">
      <w:pPr>
        <w:pStyle w:val="Heading2"/>
        <w:rPr>
          <w:rFonts w:ascii="Calibri" w:hAnsi="Calibri"/>
          <w:lang w:eastAsia="zh-TW"/>
        </w:rPr>
      </w:pPr>
      <w:bookmarkStart w:id="22" w:name="OLE_LINK51"/>
      <w:r>
        <w:rPr>
          <w:lang w:eastAsia="zh-TW"/>
        </w:rPr>
        <w:t>LP-SSS Measurement Window vs. SMTC Restriction</w:t>
      </w:r>
      <w:bookmarkEnd w:id="22"/>
    </w:p>
    <w:p w14:paraId="4019A0B7" w14:textId="77777777" w:rsidR="0038551E" w:rsidRPr="0038551E" w:rsidRDefault="0038551E" w:rsidP="0038551E">
      <w:pPr>
        <w:rPr>
          <w:rFonts w:eastAsia="新細明體"/>
          <w:lang w:eastAsia="zh-TW"/>
        </w:rPr>
      </w:pPr>
      <w:r w:rsidRPr="0038551E">
        <w:rPr>
          <w:rFonts w:eastAsia="新細明體"/>
          <w:lang w:eastAsia="zh-TW"/>
        </w:rPr>
        <w:t>This issue examines whether the measurement of LP-SSS-RSRP/RSSI should strictly follow the existing SSB Measurement Timing Configuration (SMTC) windows or if independent timing is permissible.</w:t>
      </w:r>
    </w:p>
    <w:p w14:paraId="3237712F" w14:textId="77777777" w:rsidR="0038551E" w:rsidRPr="0038551E" w:rsidRDefault="0038551E" w:rsidP="0038551E">
      <w:pPr>
        <w:rPr>
          <w:rFonts w:eastAsia="新細明體"/>
          <w:lang w:eastAsia="zh-TW"/>
        </w:rPr>
      </w:pPr>
    </w:p>
    <w:p w14:paraId="10EE6768" w14:textId="77777777" w:rsidR="0038551E" w:rsidRPr="0038551E" w:rsidRDefault="0038551E" w:rsidP="0038551E">
      <w:pPr>
        <w:rPr>
          <w:rFonts w:eastAsia="新細明體"/>
          <w:lang w:eastAsia="zh-TW"/>
        </w:rPr>
      </w:pPr>
      <w:r w:rsidRPr="0038551E">
        <w:rPr>
          <w:rFonts w:eastAsia="新細明體"/>
          <w:lang w:eastAsia="zh-TW"/>
        </w:rPr>
        <w:lastRenderedPageBreak/>
        <w:t>Requiring LP-SS measurements to adhere strictly to SMTC windows could severely restrict flexibility, as LP-SS transmissions are unlikely to align consistently with SMTC-defined intervals. Observations confirm that independent LP-SS measurement timing—aligned explicitly with LP-SS transmissions rather than SSB timing—optimizes energy efficiency and measurement accuracy, particularly for extended DRX scenarios. Removing SMTC restrictions enables adaptive LP-SS timing configurations optimized for power saving and cell monitoring reliability.</w:t>
      </w:r>
    </w:p>
    <w:p w14:paraId="4E13D226" w14:textId="119B7C90" w:rsidR="0038551E" w:rsidRPr="0038551E" w:rsidRDefault="0091744E" w:rsidP="0038551E">
      <w:pPr>
        <w:pStyle w:val="Caption"/>
        <w:jc w:val="left"/>
        <w:rPr>
          <w:rFonts w:eastAsia="新細明體"/>
          <w:lang w:eastAsia="zh-TW"/>
        </w:rPr>
      </w:pPr>
      <w:r>
        <w:rPr>
          <w:rFonts w:eastAsia="新細明體"/>
          <w:b w:val="0"/>
          <w:bCs w:val="0"/>
          <w:lang w:eastAsia="zh-TW"/>
        </w:rPr>
        <w:br/>
      </w:r>
      <w:bookmarkStart w:id="23" w:name="_Ref194109097"/>
      <w:r w:rsidR="0038551E">
        <w:t xml:space="preserve">Observation </w:t>
      </w:r>
      <w:fldSimple w:instr=" SEQ Observation \* ARABIC ">
        <w:r w:rsidR="00DA7A9B">
          <w:rPr>
            <w:noProof/>
          </w:rPr>
          <w:t>5</w:t>
        </w:r>
      </w:fldSimple>
      <w:r w:rsidR="0038551E">
        <w:t xml:space="preserve">: </w:t>
      </w:r>
      <w:r w:rsidR="0038551E" w:rsidRPr="0038551E">
        <w:rPr>
          <w:rFonts w:eastAsia="新細明體"/>
          <w:lang w:eastAsia="zh-TW"/>
        </w:rPr>
        <w:t>Independent LP-SS measurement timing significantly enhances flexibility, energy efficiency, and measurement reliability compared to strict SMTC-based approaches.</w:t>
      </w:r>
      <w:bookmarkEnd w:id="23"/>
    </w:p>
    <w:p w14:paraId="5FEFD1FB" w14:textId="6FBC3E87" w:rsidR="0038551E" w:rsidRPr="0038551E" w:rsidRDefault="0091744E" w:rsidP="0038551E">
      <w:pPr>
        <w:rPr>
          <w:rFonts w:eastAsia="新細明體"/>
          <w:lang w:eastAsia="zh-TW"/>
        </w:rPr>
      </w:pPr>
      <w:r>
        <w:rPr>
          <w:rFonts w:eastAsia="新細明體"/>
          <w:b/>
          <w:bCs/>
          <w:lang w:eastAsia="zh-TW"/>
        </w:rPr>
        <w:br/>
      </w:r>
      <w:r w:rsidRPr="0091744E">
        <w:rPr>
          <w:rFonts w:eastAsia="新細明體"/>
          <w:lang w:eastAsia="zh-TW"/>
        </w:rPr>
        <w:t>It is suggested to r</w:t>
      </w:r>
      <w:r w:rsidR="0038551E" w:rsidRPr="0091744E">
        <w:rPr>
          <w:rFonts w:eastAsia="新細明體"/>
          <w:lang w:eastAsia="zh-TW"/>
        </w:rPr>
        <w:t>emove the SMTC measurement restriction for LP-SSS-RSRP/RSSI. Allow independent measurement during</w:t>
      </w:r>
      <w:r w:rsidR="0038551E" w:rsidRPr="0038551E">
        <w:rPr>
          <w:rFonts w:eastAsia="新細明體"/>
          <w:lang w:eastAsia="zh-TW"/>
        </w:rPr>
        <w:t xml:space="preserve"> explicitly configured LP-SS occurrences, potentially aligning measurement occasions directly with LOs or defining separate RRC-configurable measurement timings. </w:t>
      </w:r>
      <w:r>
        <w:rPr>
          <w:rFonts w:eastAsia="新細明體"/>
          <w:lang w:eastAsia="zh-TW"/>
        </w:rPr>
        <w:t>It is also necessary to c</w:t>
      </w:r>
      <w:r w:rsidR="0038551E" w:rsidRPr="0038551E">
        <w:rPr>
          <w:rFonts w:eastAsia="新細明體"/>
          <w:lang w:eastAsia="zh-TW"/>
        </w:rPr>
        <w:t>oordinate with RAN2 to introduce clearly defined, lightweight measurement configuration mechanisms for LP-SS independent from SSB-based SMTC.</w:t>
      </w:r>
    </w:p>
    <w:p w14:paraId="06AA52D4" w14:textId="7BD4725C" w:rsidR="00850417" w:rsidRDefault="0038551E" w:rsidP="0038551E">
      <w:pPr>
        <w:pStyle w:val="Caption"/>
        <w:jc w:val="left"/>
        <w:rPr>
          <w:rFonts w:eastAsia="新細明體"/>
          <w:lang w:eastAsia="zh-TW"/>
        </w:rPr>
      </w:pPr>
      <w:r>
        <w:rPr>
          <w:rFonts w:eastAsia="新細明體"/>
          <w:b w:val="0"/>
          <w:bCs w:val="0"/>
          <w:lang w:eastAsia="zh-TW"/>
        </w:rPr>
        <w:br/>
      </w:r>
      <w:bookmarkStart w:id="24" w:name="_Ref194109175"/>
      <w:r>
        <w:t xml:space="preserve">Proposal </w:t>
      </w:r>
      <w:fldSimple w:instr=" SEQ Proposal \* ARABIC ">
        <w:r w:rsidR="00DA7A9B">
          <w:rPr>
            <w:noProof/>
          </w:rPr>
          <w:t>5</w:t>
        </w:r>
      </w:fldSimple>
      <w:r>
        <w:t xml:space="preserve">: </w:t>
      </w:r>
      <w:r w:rsidRPr="0038551E">
        <w:rPr>
          <w:rFonts w:eastAsia="新細明體"/>
          <w:lang w:eastAsia="zh-TW"/>
        </w:rPr>
        <w:t>Eliminate SMTC-based constraints, enabling standalone LP-SS timing that is RRC-configurable and optimally aligned with actual LP-SS transmissions for improved power saving and monitoring.</w:t>
      </w:r>
      <w:bookmarkEnd w:id="24"/>
    </w:p>
    <w:p w14:paraId="75110F2F" w14:textId="77777777" w:rsidR="00850417" w:rsidRDefault="00850417" w:rsidP="00850417">
      <w:pPr>
        <w:rPr>
          <w:rFonts w:eastAsia="新細明體"/>
          <w:b/>
          <w:bCs/>
          <w:lang w:eastAsia="zh-TW"/>
        </w:rPr>
      </w:pPr>
    </w:p>
    <w:p w14:paraId="254ED332" w14:textId="77777777" w:rsidR="00850417" w:rsidRDefault="00850417" w:rsidP="00850417">
      <w:pPr>
        <w:pStyle w:val="Heading2"/>
        <w:rPr>
          <w:rFonts w:ascii="Calibri" w:hAnsi="Calibri"/>
          <w:lang w:eastAsia="zh-TW"/>
        </w:rPr>
      </w:pPr>
      <w:r>
        <w:rPr>
          <w:lang w:eastAsia="zh-TW"/>
        </w:rPr>
        <w:t>Applicability of LP-SS Based RSRP/RSRQ Definitions to an OFDM-Based WUR</w:t>
      </w:r>
    </w:p>
    <w:p w14:paraId="74BC6CD4" w14:textId="597DF01C" w:rsidR="0038551E" w:rsidRPr="0038551E" w:rsidRDefault="0091744E" w:rsidP="0038551E">
      <w:pPr>
        <w:rPr>
          <w:rFonts w:eastAsia="新細明體"/>
          <w:lang w:eastAsia="zh-TW"/>
        </w:rPr>
      </w:pPr>
      <w:r>
        <w:rPr>
          <w:rFonts w:eastAsia="新細明體"/>
          <w:lang w:eastAsia="zh-TW"/>
        </w:rPr>
        <w:t>This issue is to c</w:t>
      </w:r>
      <w:r w:rsidR="0038551E" w:rsidRPr="0038551E">
        <w:rPr>
          <w:rFonts w:eastAsia="新細明體"/>
          <w:lang w:eastAsia="zh-TW"/>
        </w:rPr>
        <w:t>onfirm whether LP-SS-based LP-RSRP and LP-RSRQ definitions originally defined for OOK-based WUR are applicable without modifications to OFDM-based WUR implementations.</w:t>
      </w:r>
    </w:p>
    <w:p w14:paraId="4D04B82C" w14:textId="2E443976" w:rsidR="0038551E" w:rsidRPr="0038551E" w:rsidRDefault="0038551E" w:rsidP="0038551E">
      <w:pPr>
        <w:rPr>
          <w:rFonts w:eastAsia="新細明體"/>
          <w:lang w:eastAsia="zh-TW"/>
        </w:rPr>
      </w:pPr>
      <w:r>
        <w:rPr>
          <w:rFonts w:eastAsia="新細明體"/>
          <w:lang w:eastAsia="zh-TW"/>
        </w:rPr>
        <w:br/>
      </w:r>
      <w:r w:rsidRPr="0038551E">
        <w:rPr>
          <w:rFonts w:eastAsia="新細明體"/>
          <w:lang w:eastAsia="zh-TW"/>
        </w:rPr>
        <w:t xml:space="preserve">The technical analysis confirms that existing LP-SS-based LP-RSRP/RSRQ definitions remain accurate and fully applicable to OFDM-based WUR implementations. </w:t>
      </w:r>
      <w:r w:rsidR="0091744E">
        <w:rPr>
          <w:rFonts w:eastAsia="新細明體"/>
          <w:lang w:eastAsia="zh-TW"/>
        </w:rPr>
        <w:t>It can be observed that</w:t>
      </w:r>
      <w:r w:rsidRPr="0038551E">
        <w:rPr>
          <w:rFonts w:eastAsia="新細明體"/>
          <w:lang w:eastAsia="zh-TW"/>
        </w:rPr>
        <w:t xml:space="preserve"> OFDM-based WUR implementations may, in practice, improve measurement accuracy through enhanced signal processing capabilities.</w:t>
      </w:r>
      <w:r w:rsidR="0091744E">
        <w:rPr>
          <w:rFonts w:eastAsia="新細明體"/>
          <w:lang w:eastAsia="zh-TW"/>
        </w:rPr>
        <w:t xml:space="preserve"> </w:t>
      </w:r>
      <w:r w:rsidRPr="0038551E">
        <w:rPr>
          <w:rFonts w:eastAsia="新細明體"/>
          <w:lang w:eastAsia="zh-TW"/>
        </w:rPr>
        <w:t>However, the fundamental measurement definitions themselves remain unchanged, as they depend solely on transmitted signal characteristics rather than specific receiver architectures.</w:t>
      </w:r>
    </w:p>
    <w:p w14:paraId="0F58834B" w14:textId="232C90D1" w:rsidR="0038551E" w:rsidRPr="0038551E" w:rsidRDefault="0038551E" w:rsidP="0038551E">
      <w:pPr>
        <w:pStyle w:val="Caption"/>
        <w:jc w:val="left"/>
        <w:rPr>
          <w:rFonts w:eastAsia="新細明體"/>
          <w:lang w:eastAsia="zh-TW"/>
        </w:rPr>
      </w:pPr>
      <w:r>
        <w:rPr>
          <w:rFonts w:eastAsia="新細明體"/>
          <w:lang w:eastAsia="zh-TW"/>
        </w:rPr>
        <w:br/>
      </w:r>
      <w:bookmarkStart w:id="25" w:name="_Ref194109102"/>
      <w:r>
        <w:t xml:space="preserve">Observation </w:t>
      </w:r>
      <w:fldSimple w:instr=" SEQ Observation \* ARABIC ">
        <w:r w:rsidR="00DA7A9B">
          <w:rPr>
            <w:noProof/>
          </w:rPr>
          <w:t>6</w:t>
        </w:r>
      </w:fldSimple>
      <w:r>
        <w:t xml:space="preserve">: </w:t>
      </w:r>
      <w:r w:rsidRPr="0038551E">
        <w:rPr>
          <w:rFonts w:eastAsia="新細明體"/>
          <w:lang w:eastAsia="zh-TW"/>
        </w:rPr>
        <w:t>Existing LP-SS-based measurements apply directly to OFDM-based WUR; improved processing offers potential accuracy gains without altering fundamental definitions.</w:t>
      </w:r>
      <w:bookmarkEnd w:id="25"/>
    </w:p>
    <w:p w14:paraId="02839D1D" w14:textId="13D065DB" w:rsidR="0038551E" w:rsidRPr="0038551E" w:rsidRDefault="0091744E" w:rsidP="0038551E">
      <w:pPr>
        <w:rPr>
          <w:rFonts w:eastAsia="新細明體"/>
          <w:b/>
          <w:bCs/>
          <w:lang w:eastAsia="zh-TW"/>
        </w:rPr>
      </w:pPr>
      <w:r>
        <w:rPr>
          <w:rFonts w:eastAsia="新細明體"/>
          <w:lang w:eastAsia="zh-TW"/>
        </w:rPr>
        <w:br/>
        <w:t>It is suggested to e</w:t>
      </w:r>
      <w:r w:rsidR="0038551E" w:rsidRPr="0038551E">
        <w:rPr>
          <w:rFonts w:eastAsia="新細明體"/>
          <w:lang w:eastAsia="zh-TW"/>
        </w:rPr>
        <w:t>xplicitly affirm in specifications that existing LP-SS-based LP-RSRP/RSRQ measurement definitions are directly applicable to OFDM-based WURs without modification. Coordination with RAN4 is advised to reflect any differences solely in performance testing or minimum accuracy criteria rather than revising the measurement definitions themselves</w:t>
      </w:r>
      <w:r w:rsidR="0038551E" w:rsidRPr="0038551E">
        <w:rPr>
          <w:rFonts w:eastAsia="新細明體"/>
          <w:b/>
          <w:bCs/>
          <w:lang w:eastAsia="zh-TW"/>
        </w:rPr>
        <w:t>.</w:t>
      </w:r>
    </w:p>
    <w:p w14:paraId="3014EDF4" w14:textId="36EC582B" w:rsidR="00850417" w:rsidRDefault="0038551E" w:rsidP="0038551E">
      <w:pPr>
        <w:pStyle w:val="Caption"/>
        <w:jc w:val="left"/>
        <w:rPr>
          <w:rFonts w:eastAsia="新細明體"/>
          <w:b w:val="0"/>
          <w:bCs w:val="0"/>
          <w:lang w:eastAsia="zh-TW"/>
        </w:rPr>
      </w:pPr>
      <w:r>
        <w:br/>
      </w:r>
      <w:bookmarkStart w:id="26" w:name="_Ref194109184"/>
      <w:r>
        <w:t xml:space="preserve">Proposal </w:t>
      </w:r>
      <w:fldSimple w:instr=" SEQ Proposal \* ARABIC ">
        <w:r w:rsidR="00DA7A9B">
          <w:rPr>
            <w:noProof/>
          </w:rPr>
          <w:t>6</w:t>
        </w:r>
      </w:fldSimple>
      <w:r>
        <w:t xml:space="preserve">: </w:t>
      </w:r>
      <w:r w:rsidRPr="0038551E">
        <w:rPr>
          <w:rFonts w:eastAsia="新細明體"/>
          <w:lang w:eastAsia="zh-TW"/>
        </w:rPr>
        <w:t>Confirm unchanged measurement definitions for OFDM-based WUR; coordinate with RAN4 to address performance-validation criteria instead of redefining measurements.</w:t>
      </w:r>
      <w:bookmarkEnd w:id="26"/>
    </w:p>
    <w:p w14:paraId="734404D7" w14:textId="77777777" w:rsidR="00850417" w:rsidRDefault="00850417" w:rsidP="00850417">
      <w:pPr>
        <w:rPr>
          <w:rFonts w:eastAsia="新細明體"/>
          <w:lang w:eastAsia="zh-TW"/>
        </w:rPr>
      </w:pPr>
    </w:p>
    <w:p w14:paraId="137A90E3" w14:textId="6E464849" w:rsidR="00850417" w:rsidRDefault="00AC0AC2" w:rsidP="00850417">
      <w:pPr>
        <w:pStyle w:val="Heading1"/>
      </w:pPr>
      <w:r>
        <w:lastRenderedPageBreak/>
        <w:t>Remaining issues on LP-WUS and LP-SS association</w:t>
      </w:r>
    </w:p>
    <w:p w14:paraId="63E175F2" w14:textId="70EF86D8" w:rsidR="0044449F" w:rsidRPr="0044449F" w:rsidRDefault="0044449F" w:rsidP="00850417">
      <w:pPr>
        <w:pStyle w:val="Heading2"/>
        <w:rPr>
          <w:lang w:eastAsia="zh-TW"/>
        </w:rPr>
      </w:pPr>
      <w:r w:rsidRPr="0044449F">
        <w:rPr>
          <w:lang w:eastAsia="zh-TW"/>
        </w:rPr>
        <w:t>QCL Association for LP-WUS/LP-SS Signals</w:t>
      </w:r>
      <w:bookmarkEnd w:id="19"/>
    </w:p>
    <w:p w14:paraId="0388E496" w14:textId="77777777" w:rsidR="00DA7A9B" w:rsidRPr="00DA7A9B" w:rsidRDefault="00DA7A9B" w:rsidP="00DA7A9B">
      <w:pPr>
        <w:rPr>
          <w:rFonts w:eastAsia="新細明體"/>
          <w:lang w:eastAsia="zh-TW"/>
        </w:rPr>
      </w:pPr>
      <w:r w:rsidRPr="00DA7A9B">
        <w:rPr>
          <w:rFonts w:eastAsia="新細明體"/>
          <w:lang w:eastAsia="zh-TW"/>
        </w:rPr>
        <w:t>This issue addresses the final determination of Quasi Co-location (QCL) types and explicit beam association between LP-WUS/LP-SS signals and existing SSB reference beams.</w:t>
      </w:r>
    </w:p>
    <w:p w14:paraId="2D2C2E41" w14:textId="40B5F4AD" w:rsidR="00DA7A9B" w:rsidRPr="00DA7A9B" w:rsidRDefault="00DA7A9B" w:rsidP="00DA7A9B">
      <w:pPr>
        <w:rPr>
          <w:rFonts w:eastAsia="新細明體"/>
          <w:lang w:eastAsia="zh-TW"/>
        </w:rPr>
      </w:pPr>
      <w:r w:rsidRPr="00DA7A9B">
        <w:rPr>
          <w:rFonts w:eastAsia="新細明體"/>
          <w:lang w:eastAsia="zh-TW"/>
        </w:rPr>
        <w:br/>
      </w:r>
      <w:r w:rsidRPr="00DA7A9B">
        <w:rPr>
          <w:rFonts w:eastAsia="新細明體"/>
          <w:lang w:eastAsia="zh-TW"/>
        </w:rPr>
        <w:t>Associating LP-WUS and LP-SS signals explicitly with existing SSB beams greatly simplifies UE beam detection logic and reduces complexity. Observations emphasize that employing QCL-Type D (spatial alignment) combined with QCL-Type C (timing/frequency alignment) provides necessary and sufficient conditions for the UE’s reliable beam-based detection and measurement. Further analysis indicates that explicit dynamic signaling of QCL relationships is unnecessary if implicit one-to-one indexing between LP-WUS/LP-SS beams and SSB beams is adopted, which significantly streamlines UE operation.</w:t>
      </w:r>
    </w:p>
    <w:p w14:paraId="30277D92" w14:textId="504E07CB" w:rsidR="00DA7A9B" w:rsidRPr="00DA7A9B" w:rsidRDefault="00DA7A9B" w:rsidP="00DA7A9B">
      <w:pPr>
        <w:pStyle w:val="Caption"/>
        <w:jc w:val="left"/>
        <w:rPr>
          <w:rFonts w:eastAsia="新細明體"/>
          <w:lang w:eastAsia="zh-TW"/>
        </w:rPr>
      </w:pPr>
      <w:r>
        <w:rPr>
          <w:rFonts w:eastAsia="新細明體"/>
          <w:b w:val="0"/>
          <w:bCs w:val="0"/>
          <w:lang w:eastAsia="zh-TW"/>
        </w:rPr>
        <w:br/>
      </w:r>
      <w:bookmarkStart w:id="27" w:name="_Ref194109108"/>
      <w:r>
        <w:t xml:space="preserve">Observation </w:t>
      </w:r>
      <w:fldSimple w:instr=" SEQ Observation \* ARABIC ">
        <w:r>
          <w:rPr>
            <w:noProof/>
          </w:rPr>
          <w:t>7</w:t>
        </w:r>
      </w:fldSimple>
      <w:r>
        <w:t xml:space="preserve">: </w:t>
      </w:r>
      <w:r w:rsidRPr="00DA7A9B">
        <w:rPr>
          <w:rFonts w:eastAsia="新細明體"/>
          <w:lang w:eastAsia="zh-TW"/>
        </w:rPr>
        <w:t>Using QCL-Type C and D for LP-WUS/LP-SS signals and mapping them one-to-one to SSB beams simplifies beam detection and avoids unnecessary dynamic signaling.</w:t>
      </w:r>
      <w:bookmarkEnd w:id="27"/>
    </w:p>
    <w:p w14:paraId="22070C5E" w14:textId="68DF74DA" w:rsidR="00DA7A9B" w:rsidRPr="00DA7A9B" w:rsidRDefault="00DA7A9B" w:rsidP="00DA7A9B">
      <w:pPr>
        <w:rPr>
          <w:rFonts w:eastAsia="新細明體"/>
          <w:lang w:eastAsia="zh-TW"/>
        </w:rPr>
      </w:pPr>
      <w:r>
        <w:rPr>
          <w:rFonts w:eastAsia="新細明體"/>
          <w:b/>
          <w:bCs/>
          <w:lang w:eastAsia="zh-TW"/>
        </w:rPr>
        <w:br/>
      </w:r>
      <w:r w:rsidR="0091744E">
        <w:rPr>
          <w:rFonts w:eastAsia="新細明體"/>
          <w:lang w:eastAsia="zh-TW"/>
        </w:rPr>
        <w:t>It is suggested to e</w:t>
      </w:r>
      <w:r w:rsidRPr="00DA7A9B">
        <w:rPr>
          <w:rFonts w:eastAsia="新細明體"/>
          <w:lang w:eastAsia="zh-TW"/>
        </w:rPr>
        <w:t>xplicitly specify QCL-Type C and D associations between each LP-WUS/LP-SS signal and its corresponding SSB beam. Adopt implicit one-to-one indexing between LP-WUS/LP-SS and SSB beams as the standard baseline approach, adding RRC signaling only in scenarios involving partial beam coverage. Coordination with RAN2 is recommended to establish these implicit assumptions clearly within the RRC configuration framework.</w:t>
      </w:r>
    </w:p>
    <w:p w14:paraId="513CF3B9" w14:textId="50FCC2F3" w:rsidR="0044449F" w:rsidRPr="0044449F" w:rsidRDefault="00DA7A9B" w:rsidP="00DA7A9B">
      <w:pPr>
        <w:pStyle w:val="Caption"/>
        <w:jc w:val="left"/>
        <w:rPr>
          <w:rFonts w:eastAsia="新細明體"/>
          <w:lang w:eastAsia="zh-TW"/>
        </w:rPr>
      </w:pPr>
      <w:r>
        <w:rPr>
          <w:rFonts w:eastAsia="新細明體"/>
          <w:b w:val="0"/>
          <w:bCs w:val="0"/>
          <w:lang w:eastAsia="zh-TW"/>
        </w:rPr>
        <w:br/>
      </w:r>
      <w:bookmarkStart w:id="28" w:name="_Ref194109193"/>
      <w:r>
        <w:t xml:space="preserve">Proposal </w:t>
      </w:r>
      <w:fldSimple w:instr=" SEQ Proposal \* ARABIC ">
        <w:r>
          <w:rPr>
            <w:noProof/>
          </w:rPr>
          <w:t>7</w:t>
        </w:r>
      </w:fldSimple>
      <w:r>
        <w:t xml:space="preserve">: </w:t>
      </w:r>
      <w:r w:rsidRPr="00DA7A9B">
        <w:rPr>
          <w:rFonts w:eastAsia="新細明體"/>
          <w:lang w:eastAsia="zh-TW"/>
        </w:rPr>
        <w:t>Fix QCL-Type C and D for stable beam association, use implicit one-to-one LP-WUS/LP-SS to SSB mapping, and add RRC signaling if partial coverage is required.</w:t>
      </w:r>
      <w:bookmarkEnd w:id="28"/>
    </w:p>
    <w:p w14:paraId="6FF0EF6C" w14:textId="77777777" w:rsidR="00850417" w:rsidRDefault="00850417" w:rsidP="00850417">
      <w:pPr>
        <w:rPr>
          <w:rFonts w:eastAsia="新細明體"/>
          <w:b/>
          <w:bCs/>
          <w:lang w:eastAsia="zh-TW"/>
        </w:rPr>
      </w:pPr>
      <w:bookmarkStart w:id="29" w:name="_Hlk194068979"/>
    </w:p>
    <w:p w14:paraId="6C54591D" w14:textId="375917C0" w:rsidR="0044449F" w:rsidRPr="0044449F" w:rsidRDefault="0044449F" w:rsidP="00850417">
      <w:pPr>
        <w:pStyle w:val="Heading2"/>
        <w:rPr>
          <w:lang w:eastAsia="zh-TW"/>
        </w:rPr>
      </w:pPr>
      <w:r w:rsidRPr="0044449F">
        <w:rPr>
          <w:lang w:eastAsia="zh-TW"/>
        </w:rPr>
        <w:t>Mapping Between LP-WUS/LP-SS Beams and SSB Beams</w:t>
      </w:r>
      <w:bookmarkEnd w:id="29"/>
    </w:p>
    <w:p w14:paraId="68AEACE8" w14:textId="2E5EF869" w:rsidR="00DA7A9B" w:rsidRPr="00DA7A9B" w:rsidRDefault="0091744E" w:rsidP="00DA7A9B">
      <w:pPr>
        <w:rPr>
          <w:rFonts w:eastAsia="新細明體"/>
          <w:lang w:eastAsia="zh-TW"/>
        </w:rPr>
      </w:pPr>
      <w:bookmarkStart w:id="30" w:name="OLE_LINK52"/>
      <w:r>
        <w:rPr>
          <w:rFonts w:eastAsia="新細明體"/>
          <w:lang w:eastAsia="zh-TW"/>
        </w:rPr>
        <w:t>This issue is to c</w:t>
      </w:r>
      <w:r w:rsidR="00DA7A9B" w:rsidRPr="00DA7A9B">
        <w:rPr>
          <w:rFonts w:eastAsia="新細明體"/>
          <w:lang w:eastAsia="zh-TW"/>
        </w:rPr>
        <w:t>larify beam mapping strategies between LP-WUS/LP-SS signals and existing SSB beams, specifically addressing whether one-to-one or broader mappings should be utilized.</w:t>
      </w:r>
    </w:p>
    <w:p w14:paraId="5EBB76D0" w14:textId="6416B561" w:rsidR="00DA7A9B" w:rsidRPr="00DA7A9B" w:rsidRDefault="00DA7A9B" w:rsidP="00DA7A9B">
      <w:pPr>
        <w:rPr>
          <w:rFonts w:eastAsia="新細明體"/>
          <w:lang w:eastAsia="zh-TW"/>
        </w:rPr>
      </w:pPr>
      <w:r>
        <w:rPr>
          <w:rFonts w:eastAsia="新細明體"/>
          <w:lang w:eastAsia="zh-TW"/>
        </w:rPr>
        <w:br/>
      </w:r>
      <w:r w:rsidRPr="00DA7A9B">
        <w:rPr>
          <w:rFonts w:eastAsia="新細明體"/>
          <w:lang w:eastAsia="zh-TW"/>
        </w:rPr>
        <w:t>Technical considerations strongly favor a one-to-one mapping between LP-WUS/LP-SS beams and SSB beams. Observations indicate that broader (one-to-many) mappings would introduce detection ambiguity and reduce beamforming gains, significantly impacting detection reliability. The explicitly agreed-upon one-to-one mapping strategy maximizes UE detection efficiency, maintains consistent beam coverage, and streamlines both network and UE beam management processes.</w:t>
      </w:r>
    </w:p>
    <w:p w14:paraId="58AC23F8" w14:textId="2BD13AF4" w:rsidR="00DA7A9B" w:rsidRPr="00DA7A9B" w:rsidRDefault="00DA7A9B" w:rsidP="00DA7A9B">
      <w:pPr>
        <w:pStyle w:val="Caption"/>
        <w:jc w:val="left"/>
        <w:rPr>
          <w:rFonts w:eastAsia="新細明體"/>
          <w:lang w:eastAsia="zh-TW"/>
        </w:rPr>
      </w:pPr>
      <w:r>
        <w:rPr>
          <w:rFonts w:eastAsia="新細明體"/>
          <w:b w:val="0"/>
          <w:bCs w:val="0"/>
          <w:lang w:eastAsia="zh-TW"/>
        </w:rPr>
        <w:br/>
      </w:r>
      <w:bookmarkStart w:id="31" w:name="_Ref194109112"/>
      <w:r>
        <w:t xml:space="preserve">Observation </w:t>
      </w:r>
      <w:fldSimple w:instr=" SEQ Observation \* ARABIC ">
        <w:r>
          <w:rPr>
            <w:noProof/>
          </w:rPr>
          <w:t>8</w:t>
        </w:r>
      </w:fldSimple>
      <w:r>
        <w:t xml:space="preserve">: </w:t>
      </w:r>
      <w:r w:rsidRPr="00DA7A9B">
        <w:rPr>
          <w:rFonts w:eastAsia="新細明體"/>
          <w:lang w:eastAsia="zh-TW"/>
        </w:rPr>
        <w:t>Enforcing one-to-one mapping avoids detection ambiguity, enhances beamforming gains, and ensures consistent beam coverage.</w:t>
      </w:r>
      <w:bookmarkEnd w:id="31"/>
    </w:p>
    <w:p w14:paraId="0F38707F" w14:textId="62DEC5FB" w:rsidR="00DA7A9B" w:rsidRPr="00DA7A9B" w:rsidRDefault="0091744E" w:rsidP="00DA7A9B">
      <w:pPr>
        <w:rPr>
          <w:rFonts w:eastAsia="新細明體"/>
          <w:lang w:eastAsia="zh-TW"/>
        </w:rPr>
      </w:pPr>
      <w:r>
        <w:rPr>
          <w:rFonts w:eastAsia="新細明體"/>
          <w:b/>
          <w:bCs/>
          <w:lang w:eastAsia="zh-TW"/>
        </w:rPr>
        <w:br/>
      </w:r>
      <w:r w:rsidRPr="0091744E">
        <w:rPr>
          <w:rFonts w:eastAsia="新細明體"/>
          <w:lang w:eastAsia="zh-TW"/>
        </w:rPr>
        <w:t>It is suggested to f</w:t>
      </w:r>
      <w:r w:rsidR="00DA7A9B" w:rsidRPr="0091744E">
        <w:rPr>
          <w:rFonts w:eastAsia="新細明體"/>
          <w:lang w:eastAsia="zh-TW"/>
        </w:rPr>
        <w:t>ormally</w:t>
      </w:r>
      <w:r w:rsidR="00DA7A9B" w:rsidRPr="00DA7A9B">
        <w:rPr>
          <w:rFonts w:eastAsia="新細明體"/>
          <w:lang w:eastAsia="zh-TW"/>
        </w:rPr>
        <w:t xml:space="preserve"> specify a one-to-one beam mapping scheme between LP-WUS/LP-SS signals and corresponding SSB beams. Clearly document this principle in the specifications, explicitly stating that each LP-WUS/LP-SS beam corresponds precisely to a single SSB beam. This approach simplifies UE implementation and maintains robust beam management strategies.</w:t>
      </w:r>
    </w:p>
    <w:p w14:paraId="61F8B31F" w14:textId="1E698195" w:rsidR="00DA7A9B" w:rsidRDefault="00DA7A9B" w:rsidP="00DA7A9B">
      <w:pPr>
        <w:pStyle w:val="Caption"/>
        <w:jc w:val="left"/>
        <w:rPr>
          <w:rFonts w:eastAsia="新細明體"/>
          <w:b w:val="0"/>
          <w:bCs w:val="0"/>
          <w:lang w:eastAsia="zh-TW"/>
        </w:rPr>
      </w:pPr>
      <w:r>
        <w:rPr>
          <w:rFonts w:eastAsia="新細明體"/>
          <w:b w:val="0"/>
          <w:bCs w:val="0"/>
          <w:lang w:eastAsia="zh-TW"/>
        </w:rPr>
        <w:lastRenderedPageBreak/>
        <w:br/>
      </w:r>
      <w:bookmarkStart w:id="32" w:name="_Ref194109202"/>
      <w:r>
        <w:t xml:space="preserve">Proposal </w:t>
      </w:r>
      <w:fldSimple w:instr=" SEQ Proposal \* ARABIC ">
        <w:r>
          <w:rPr>
            <w:noProof/>
          </w:rPr>
          <w:t>8</w:t>
        </w:r>
      </w:fldSimple>
      <w:r>
        <w:t xml:space="preserve">: </w:t>
      </w:r>
      <w:r w:rsidRPr="00DA7A9B">
        <w:rPr>
          <w:rFonts w:eastAsia="新細明體"/>
          <w:lang w:eastAsia="zh-TW"/>
        </w:rPr>
        <w:t>Mandate a strictly one-to-one beam mapping to preserve reliability, streamline beam management, and simplify UE/network implementations.</w:t>
      </w:r>
      <w:bookmarkEnd w:id="32"/>
    </w:p>
    <w:p w14:paraId="57414F74" w14:textId="509CF6E3" w:rsidR="00DA7A9B" w:rsidRDefault="00DA7A9B" w:rsidP="00DA7A9B">
      <w:pPr>
        <w:rPr>
          <w:rFonts w:eastAsia="新細明體"/>
          <w:b/>
          <w:bCs/>
          <w:lang w:eastAsia="zh-TW"/>
        </w:rPr>
      </w:pPr>
      <w:r>
        <w:rPr>
          <w:rFonts w:eastAsia="新細明體"/>
          <w:b/>
          <w:bCs/>
          <w:lang w:eastAsia="zh-TW"/>
        </w:rPr>
        <w:br/>
      </w:r>
    </w:p>
    <w:p w14:paraId="6863CBAE" w14:textId="2DF137D7" w:rsidR="001E453F" w:rsidRDefault="00D20CB2">
      <w:pPr>
        <w:pStyle w:val="Heading1"/>
      </w:pPr>
      <w:bookmarkStart w:id="33" w:name="OLE_LINK74"/>
      <w:bookmarkEnd w:id="30"/>
      <w:r>
        <w:t>Summary</w:t>
      </w:r>
    </w:p>
    <w:bookmarkEnd w:id="33"/>
    <w:p w14:paraId="5789B74A" w14:textId="17942B6F" w:rsidR="001E453F" w:rsidRDefault="00BD57BA">
      <w:r>
        <w:t xml:space="preserve">In this contribution, </w:t>
      </w:r>
      <w:r w:rsidR="007E6C19">
        <w:t>the following</w:t>
      </w:r>
      <w:r w:rsidR="0091744E">
        <w:t xml:space="preserve"> observations and proposals</w:t>
      </w:r>
      <w:r w:rsidR="007E6C19">
        <w:t xml:space="preserve"> are provided</w:t>
      </w:r>
      <w:r>
        <w:t>:</w:t>
      </w:r>
    </w:p>
    <w:bookmarkStart w:id="34" w:name="OLE_LINK68"/>
    <w:bookmarkEnd w:id="0"/>
    <w:p w14:paraId="7D9DDF6C" w14:textId="1ACEBFD5" w:rsidR="003A3B3B" w:rsidRPr="00EF262E" w:rsidRDefault="00EF262E" w:rsidP="003A3B3B">
      <w:pPr>
        <w:rPr>
          <w:b/>
        </w:rPr>
      </w:pPr>
      <w:r w:rsidRPr="00EF262E">
        <w:rPr>
          <w:b/>
        </w:rPr>
        <w:fldChar w:fldCharType="begin"/>
      </w:r>
      <w:r w:rsidRPr="00EF262E">
        <w:rPr>
          <w:b/>
        </w:rPr>
        <w:instrText xml:space="preserve"> REF _Ref194109070 \h </w:instrText>
      </w:r>
      <w:r w:rsidRPr="00EF262E">
        <w:rPr>
          <w:b/>
        </w:rPr>
      </w:r>
      <w:r w:rsidRPr="00EF262E">
        <w:rPr>
          <w:b/>
        </w:rPr>
        <w:instrText xml:space="preserve"> \* MERGEFORMAT </w:instrText>
      </w:r>
      <w:r w:rsidRPr="00EF262E">
        <w:rPr>
          <w:b/>
        </w:rPr>
        <w:fldChar w:fldCharType="separate"/>
      </w:r>
      <w:r w:rsidRPr="00EF262E">
        <w:rPr>
          <w:b/>
        </w:rPr>
        <w:t xml:space="preserve">Observation </w:t>
      </w:r>
      <w:r w:rsidRPr="00EF262E">
        <w:rPr>
          <w:b/>
          <w:noProof/>
        </w:rPr>
        <w:t>1</w:t>
      </w:r>
      <w:r w:rsidRPr="00EF262E">
        <w:rPr>
          <w:b/>
        </w:rPr>
        <w:t xml:space="preserve">: </w:t>
      </w:r>
      <w:r w:rsidRPr="00EF262E">
        <w:rPr>
          <w:rFonts w:eastAsia="新細明體"/>
          <w:b/>
          <w:lang w:eastAsia="zh-TW"/>
        </w:rPr>
        <w:t>Limiting MOs to a single contiguous slot simplifies implementation; moderate repetition enhances detection reliability without excessive overhead; multiple MOs configured via RRC provide clarity and flexibility.</w:t>
      </w:r>
      <w:r w:rsidRPr="00EF262E">
        <w:rPr>
          <w:b/>
        </w:rPr>
        <w:fldChar w:fldCharType="end"/>
      </w:r>
    </w:p>
    <w:p w14:paraId="56394586" w14:textId="08A1FC50" w:rsidR="00EF262E" w:rsidRPr="00EF262E" w:rsidRDefault="00EF262E" w:rsidP="003A3B3B">
      <w:pPr>
        <w:rPr>
          <w:b/>
        </w:rPr>
      </w:pPr>
      <w:r w:rsidRPr="00EF262E">
        <w:rPr>
          <w:b/>
        </w:rPr>
        <w:br/>
      </w:r>
      <w:r w:rsidRPr="00EF262E">
        <w:rPr>
          <w:b/>
        </w:rPr>
        <w:fldChar w:fldCharType="begin"/>
      </w:r>
      <w:r w:rsidRPr="00EF262E">
        <w:rPr>
          <w:b/>
        </w:rPr>
        <w:instrText xml:space="preserve"> REF _Ref194109123 \h </w:instrText>
      </w:r>
      <w:r w:rsidRPr="00EF262E">
        <w:rPr>
          <w:b/>
        </w:rPr>
      </w:r>
      <w:r w:rsidRPr="00EF262E">
        <w:rPr>
          <w:b/>
        </w:rPr>
        <w:instrText xml:space="preserve"> \* MERGEFORMAT </w:instrText>
      </w:r>
      <w:r w:rsidRPr="00EF262E">
        <w:rPr>
          <w:b/>
        </w:rPr>
        <w:fldChar w:fldCharType="separate"/>
      </w:r>
      <w:r w:rsidRPr="00EF262E">
        <w:rPr>
          <w:b/>
        </w:rPr>
        <w:t xml:space="preserve">Proposal </w:t>
      </w:r>
      <w:r w:rsidRPr="00EF262E">
        <w:rPr>
          <w:b/>
          <w:noProof/>
        </w:rPr>
        <w:t>1</w:t>
      </w:r>
      <w:r w:rsidRPr="00EF262E">
        <w:rPr>
          <w:b/>
        </w:rPr>
        <w:t xml:space="preserve">: </w:t>
      </w:r>
      <w:r w:rsidRPr="00EF262E">
        <w:rPr>
          <w:rFonts w:eastAsia="新細明體"/>
          <w:b/>
          <w:lang w:eastAsia="zh-TW"/>
        </w:rPr>
        <w:t>Fix MOs to a single slot, allow up to two identical repetitions per LO, and ensure explicit RRC-based configuration of multiple MOs for straightforward management.</w:t>
      </w:r>
      <w:r w:rsidRPr="00EF262E">
        <w:rPr>
          <w:b/>
        </w:rPr>
        <w:fldChar w:fldCharType="end"/>
      </w:r>
    </w:p>
    <w:p w14:paraId="5A51CF7C" w14:textId="495949CD" w:rsidR="00EF262E" w:rsidRPr="00EF262E" w:rsidRDefault="00EF262E" w:rsidP="003A3B3B">
      <w:pPr>
        <w:rPr>
          <w:b/>
        </w:rPr>
      </w:pPr>
      <w:r w:rsidRPr="00EF262E">
        <w:rPr>
          <w:b/>
        </w:rPr>
        <w:br/>
      </w:r>
      <w:r w:rsidRPr="00EF262E">
        <w:rPr>
          <w:b/>
        </w:rPr>
        <w:fldChar w:fldCharType="begin"/>
      </w:r>
      <w:r w:rsidRPr="00EF262E">
        <w:rPr>
          <w:b/>
        </w:rPr>
        <w:instrText xml:space="preserve"> REF _Ref194109077 \h </w:instrText>
      </w:r>
      <w:r w:rsidRPr="00EF262E">
        <w:rPr>
          <w:b/>
        </w:rPr>
      </w:r>
      <w:r w:rsidRPr="00EF262E">
        <w:rPr>
          <w:b/>
        </w:rPr>
        <w:instrText xml:space="preserve"> \* MERGEFORMAT </w:instrText>
      </w:r>
      <w:r w:rsidRPr="00EF262E">
        <w:rPr>
          <w:b/>
        </w:rPr>
        <w:fldChar w:fldCharType="separate"/>
      </w:r>
      <w:r w:rsidRPr="00EF262E">
        <w:rPr>
          <w:b/>
        </w:rPr>
        <w:t xml:space="preserve">Observation </w:t>
      </w:r>
      <w:r w:rsidRPr="00EF262E">
        <w:rPr>
          <w:b/>
          <w:noProof/>
        </w:rPr>
        <w:t>2</w:t>
      </w:r>
      <w:r w:rsidRPr="00EF262E">
        <w:rPr>
          <w:b/>
        </w:rPr>
        <w:t xml:space="preserve">: </w:t>
      </w:r>
      <w:r w:rsidRPr="00EF262E">
        <w:rPr>
          <w:rFonts w:eastAsia="新細明體"/>
          <w:b/>
          <w:lang w:eastAsia="zh-TW"/>
        </w:rPr>
        <w:t xml:space="preserve">Multiple POs per LO can enhance </w:t>
      </w:r>
      <w:proofErr w:type="spellStart"/>
      <w:r w:rsidRPr="00EF262E">
        <w:rPr>
          <w:rFonts w:eastAsia="新細明體"/>
          <w:b/>
          <w:lang w:eastAsia="zh-TW"/>
        </w:rPr>
        <w:t>eDRX</w:t>
      </w:r>
      <w:proofErr w:type="spellEnd"/>
      <w:r w:rsidRPr="00EF262E">
        <w:rPr>
          <w:rFonts w:eastAsia="新細明體"/>
          <w:b/>
          <w:lang w:eastAsia="zh-TW"/>
        </w:rPr>
        <w:t xml:space="preserve"> flexibility but should be limited to two to balance power savings and paging coverage; coordination with RAN2 is vital for smooth scheduling alignment.</w:t>
      </w:r>
      <w:r w:rsidRPr="00EF262E">
        <w:rPr>
          <w:b/>
        </w:rPr>
        <w:fldChar w:fldCharType="end"/>
      </w:r>
    </w:p>
    <w:p w14:paraId="7F03CA45" w14:textId="017114EB" w:rsidR="00EF262E" w:rsidRPr="00EF262E" w:rsidRDefault="00EF262E" w:rsidP="003A3B3B">
      <w:pPr>
        <w:rPr>
          <w:b/>
        </w:rPr>
      </w:pPr>
      <w:r w:rsidRPr="00EF262E">
        <w:rPr>
          <w:b/>
        </w:rPr>
        <w:br/>
      </w:r>
      <w:r w:rsidRPr="00EF262E">
        <w:rPr>
          <w:b/>
        </w:rPr>
        <w:fldChar w:fldCharType="begin"/>
      </w:r>
      <w:r w:rsidRPr="00EF262E">
        <w:rPr>
          <w:b/>
        </w:rPr>
        <w:instrText xml:space="preserve"> REF _Ref194109132 \h </w:instrText>
      </w:r>
      <w:r w:rsidRPr="00EF262E">
        <w:rPr>
          <w:b/>
        </w:rPr>
      </w:r>
      <w:r w:rsidRPr="00EF262E">
        <w:rPr>
          <w:b/>
        </w:rPr>
        <w:instrText xml:space="preserve"> \* MERGEFORMAT </w:instrText>
      </w:r>
      <w:r w:rsidRPr="00EF262E">
        <w:rPr>
          <w:b/>
        </w:rPr>
        <w:fldChar w:fldCharType="separate"/>
      </w:r>
      <w:r w:rsidRPr="00EF262E">
        <w:rPr>
          <w:b/>
        </w:rPr>
        <w:t xml:space="preserve">Proposal </w:t>
      </w:r>
      <w:r w:rsidRPr="00EF262E">
        <w:rPr>
          <w:b/>
          <w:noProof/>
        </w:rPr>
        <w:t>2</w:t>
      </w:r>
      <w:r w:rsidRPr="00EF262E">
        <w:rPr>
          <w:b/>
        </w:rPr>
        <w:t xml:space="preserve">: </w:t>
      </w:r>
      <w:r w:rsidRPr="00EF262E">
        <w:rPr>
          <w:rFonts w:eastAsia="新細明體"/>
          <w:b/>
          <w:lang w:eastAsia="zh-TW"/>
        </w:rPr>
        <w:t>Permit up to two POs per LO to maintain efficient power usage, with possible expansion to four if justified; coordinate with RAN2 for consistent RRC configuration and paging schedules.</w:t>
      </w:r>
      <w:r w:rsidRPr="00EF262E">
        <w:rPr>
          <w:b/>
        </w:rPr>
        <w:fldChar w:fldCharType="end"/>
      </w:r>
    </w:p>
    <w:p w14:paraId="5D581578" w14:textId="6A3C2DDF" w:rsidR="00EF262E" w:rsidRPr="00EF262E" w:rsidRDefault="00EF262E" w:rsidP="003A3B3B">
      <w:pPr>
        <w:rPr>
          <w:b/>
        </w:rPr>
      </w:pPr>
      <w:r w:rsidRPr="00EF262E">
        <w:rPr>
          <w:b/>
        </w:rPr>
        <w:br/>
      </w:r>
      <w:r w:rsidRPr="00EF262E">
        <w:rPr>
          <w:b/>
        </w:rPr>
        <w:fldChar w:fldCharType="begin"/>
      </w:r>
      <w:r w:rsidRPr="00EF262E">
        <w:rPr>
          <w:b/>
        </w:rPr>
        <w:instrText xml:space="preserve"> REF _Ref194109083 \h </w:instrText>
      </w:r>
      <w:r w:rsidRPr="00EF262E">
        <w:rPr>
          <w:b/>
        </w:rPr>
      </w:r>
      <w:r w:rsidRPr="00EF262E">
        <w:rPr>
          <w:b/>
        </w:rPr>
        <w:instrText xml:space="preserve"> \* MERGEFORMAT </w:instrText>
      </w:r>
      <w:r w:rsidRPr="00EF262E">
        <w:rPr>
          <w:b/>
        </w:rPr>
        <w:fldChar w:fldCharType="separate"/>
      </w:r>
      <w:r w:rsidRPr="00EF262E">
        <w:rPr>
          <w:b/>
        </w:rPr>
        <w:t xml:space="preserve">Observation </w:t>
      </w:r>
      <w:r w:rsidRPr="00EF262E">
        <w:rPr>
          <w:b/>
          <w:noProof/>
        </w:rPr>
        <w:t>3</w:t>
      </w:r>
      <w:r w:rsidRPr="00EF262E">
        <w:rPr>
          <w:b/>
        </w:rPr>
        <w:t xml:space="preserve">: </w:t>
      </w:r>
      <w:r w:rsidRPr="00EF262E">
        <w:rPr>
          <w:rFonts w:eastAsia="新細明體"/>
          <w:b/>
          <w:lang w:eastAsia="zh-TW"/>
        </w:rPr>
        <w:t>A third offset adds complexity without benefit; the existing two offsets adequately cover latency and alignment needs.</w:t>
      </w:r>
      <w:r w:rsidRPr="00EF262E">
        <w:rPr>
          <w:b/>
        </w:rPr>
        <w:fldChar w:fldCharType="end"/>
      </w:r>
    </w:p>
    <w:p w14:paraId="2C918DB6" w14:textId="21B8AE30" w:rsidR="00EF262E" w:rsidRPr="00EF262E" w:rsidRDefault="00EF262E" w:rsidP="003A3B3B">
      <w:pPr>
        <w:rPr>
          <w:b/>
        </w:rPr>
      </w:pPr>
      <w:r w:rsidRPr="00EF262E">
        <w:rPr>
          <w:b/>
        </w:rPr>
        <w:br/>
      </w:r>
      <w:r w:rsidRPr="00EF262E">
        <w:rPr>
          <w:b/>
        </w:rPr>
        <w:fldChar w:fldCharType="begin"/>
      </w:r>
      <w:r w:rsidRPr="00EF262E">
        <w:rPr>
          <w:b/>
        </w:rPr>
        <w:instrText xml:space="preserve"> REF _Ref194109149 \h </w:instrText>
      </w:r>
      <w:r w:rsidRPr="00EF262E">
        <w:rPr>
          <w:b/>
        </w:rPr>
      </w:r>
      <w:r w:rsidRPr="00EF262E">
        <w:rPr>
          <w:b/>
        </w:rPr>
        <w:instrText xml:space="preserve"> \* MERGEFORMAT </w:instrText>
      </w:r>
      <w:r w:rsidRPr="00EF262E">
        <w:rPr>
          <w:b/>
        </w:rPr>
        <w:fldChar w:fldCharType="separate"/>
      </w:r>
      <w:r w:rsidRPr="00EF262E">
        <w:rPr>
          <w:b/>
        </w:rPr>
        <w:t xml:space="preserve">Proposal </w:t>
      </w:r>
      <w:r w:rsidRPr="00EF262E">
        <w:rPr>
          <w:b/>
          <w:noProof/>
        </w:rPr>
        <w:t>3</w:t>
      </w:r>
      <w:r w:rsidRPr="00EF262E">
        <w:rPr>
          <w:b/>
        </w:rPr>
        <w:t xml:space="preserve">: </w:t>
      </w:r>
      <w:r w:rsidRPr="00EF262E">
        <w:rPr>
          <w:rFonts w:eastAsia="新細明體"/>
          <w:b/>
          <w:lang w:eastAsia="zh-TW"/>
        </w:rPr>
        <w:t>Retain only two offsets, clarify their usage, and coordinate with RAN2 to support flexible wake-up scenarios.</w:t>
      </w:r>
      <w:r w:rsidRPr="00EF262E">
        <w:rPr>
          <w:b/>
        </w:rPr>
        <w:fldChar w:fldCharType="end"/>
      </w:r>
    </w:p>
    <w:p w14:paraId="455567CF" w14:textId="44FF3523" w:rsidR="00EF262E" w:rsidRPr="00EF262E" w:rsidRDefault="00EF262E" w:rsidP="003A3B3B">
      <w:pPr>
        <w:rPr>
          <w:b/>
        </w:rPr>
      </w:pPr>
      <w:r w:rsidRPr="00EF262E">
        <w:rPr>
          <w:b/>
        </w:rPr>
        <w:br/>
      </w:r>
      <w:r w:rsidRPr="00EF262E">
        <w:rPr>
          <w:b/>
        </w:rPr>
        <w:fldChar w:fldCharType="begin"/>
      </w:r>
      <w:r w:rsidRPr="00EF262E">
        <w:rPr>
          <w:b/>
        </w:rPr>
        <w:instrText xml:space="preserve"> REF _Ref194109092 \h </w:instrText>
      </w:r>
      <w:r w:rsidRPr="00EF262E">
        <w:rPr>
          <w:b/>
        </w:rPr>
      </w:r>
      <w:r w:rsidRPr="00EF262E">
        <w:rPr>
          <w:b/>
        </w:rPr>
        <w:instrText xml:space="preserve"> \* MERGEFORMAT </w:instrText>
      </w:r>
      <w:r w:rsidRPr="00EF262E">
        <w:rPr>
          <w:b/>
        </w:rPr>
        <w:fldChar w:fldCharType="separate"/>
      </w:r>
      <w:r w:rsidRPr="00EF262E">
        <w:rPr>
          <w:b/>
        </w:rPr>
        <w:t xml:space="preserve">Observation </w:t>
      </w:r>
      <w:r w:rsidRPr="00EF262E">
        <w:rPr>
          <w:b/>
          <w:noProof/>
        </w:rPr>
        <w:t>4</w:t>
      </w:r>
      <w:r w:rsidRPr="00EF262E">
        <w:rPr>
          <w:b/>
        </w:rPr>
        <w:t xml:space="preserve">: </w:t>
      </w:r>
      <w:r w:rsidRPr="00EF262E">
        <w:rPr>
          <w:rFonts w:eastAsia="新細明體"/>
          <w:b/>
          <w:lang w:eastAsia="zh-TW"/>
        </w:rPr>
        <w:t>Granting separate EPRE settings for LP-WUS and LP-SS helps balance power efficiency and measurement accuracy, yielding optimal configuration flexibility.</w:t>
      </w:r>
      <w:r w:rsidRPr="00EF262E">
        <w:rPr>
          <w:b/>
        </w:rPr>
        <w:fldChar w:fldCharType="end"/>
      </w:r>
    </w:p>
    <w:p w14:paraId="6958D02D" w14:textId="0DA6676B" w:rsidR="00EF262E" w:rsidRPr="00EF262E" w:rsidRDefault="00EF262E" w:rsidP="003A3B3B">
      <w:pPr>
        <w:rPr>
          <w:b/>
        </w:rPr>
      </w:pPr>
      <w:r w:rsidRPr="00EF262E">
        <w:rPr>
          <w:b/>
        </w:rPr>
        <w:br/>
      </w:r>
      <w:r w:rsidRPr="00EF262E">
        <w:rPr>
          <w:b/>
        </w:rPr>
        <w:fldChar w:fldCharType="begin"/>
      </w:r>
      <w:r w:rsidRPr="00EF262E">
        <w:rPr>
          <w:b/>
        </w:rPr>
        <w:instrText xml:space="preserve"> REF _Ref194109166 \h </w:instrText>
      </w:r>
      <w:r w:rsidRPr="00EF262E">
        <w:rPr>
          <w:b/>
        </w:rPr>
      </w:r>
      <w:r w:rsidRPr="00EF262E">
        <w:rPr>
          <w:b/>
        </w:rPr>
        <w:instrText xml:space="preserve"> \* MERGEFORMAT </w:instrText>
      </w:r>
      <w:r w:rsidRPr="00EF262E">
        <w:rPr>
          <w:b/>
        </w:rPr>
        <w:fldChar w:fldCharType="separate"/>
      </w:r>
      <w:r w:rsidRPr="00EF262E">
        <w:rPr>
          <w:b/>
        </w:rPr>
        <w:t xml:space="preserve">Proposal </w:t>
      </w:r>
      <w:r w:rsidRPr="00EF262E">
        <w:rPr>
          <w:b/>
          <w:noProof/>
        </w:rPr>
        <w:t>4</w:t>
      </w:r>
      <w:r w:rsidRPr="00EF262E">
        <w:rPr>
          <w:b/>
        </w:rPr>
        <w:t xml:space="preserve">: </w:t>
      </w:r>
      <w:r w:rsidRPr="00EF262E">
        <w:rPr>
          <w:rFonts w:eastAsia="新細明體"/>
          <w:b/>
          <w:lang w:eastAsia="zh-TW"/>
        </w:rPr>
        <w:t>Configure EPRE separately for LP-WUS and LP-SS, with distinct RRC and RF parameters enabling independent optimization for power efficiency and measurement reliability.</w:t>
      </w:r>
      <w:r w:rsidRPr="00EF262E">
        <w:rPr>
          <w:b/>
        </w:rPr>
        <w:fldChar w:fldCharType="end"/>
      </w:r>
    </w:p>
    <w:p w14:paraId="70962436" w14:textId="43DA3655" w:rsidR="00EF262E" w:rsidRPr="00EF262E" w:rsidRDefault="00EF262E" w:rsidP="003A3B3B">
      <w:pPr>
        <w:rPr>
          <w:b/>
        </w:rPr>
      </w:pPr>
      <w:r w:rsidRPr="00EF262E">
        <w:rPr>
          <w:b/>
        </w:rPr>
        <w:br/>
      </w:r>
      <w:r w:rsidRPr="00EF262E">
        <w:rPr>
          <w:b/>
        </w:rPr>
        <w:fldChar w:fldCharType="begin"/>
      </w:r>
      <w:r w:rsidRPr="00EF262E">
        <w:rPr>
          <w:b/>
        </w:rPr>
        <w:instrText xml:space="preserve"> REF _Ref194109097 \h </w:instrText>
      </w:r>
      <w:r w:rsidRPr="00EF262E">
        <w:rPr>
          <w:b/>
        </w:rPr>
      </w:r>
      <w:r w:rsidRPr="00EF262E">
        <w:rPr>
          <w:b/>
        </w:rPr>
        <w:instrText xml:space="preserve"> \* MERGEFORMAT </w:instrText>
      </w:r>
      <w:r w:rsidRPr="00EF262E">
        <w:rPr>
          <w:b/>
        </w:rPr>
        <w:fldChar w:fldCharType="separate"/>
      </w:r>
      <w:r w:rsidRPr="00EF262E">
        <w:rPr>
          <w:b/>
        </w:rPr>
        <w:t xml:space="preserve">Observation </w:t>
      </w:r>
      <w:r w:rsidRPr="00EF262E">
        <w:rPr>
          <w:b/>
          <w:noProof/>
        </w:rPr>
        <w:t>5</w:t>
      </w:r>
      <w:r w:rsidRPr="00EF262E">
        <w:rPr>
          <w:b/>
        </w:rPr>
        <w:t xml:space="preserve">: </w:t>
      </w:r>
      <w:r w:rsidRPr="00EF262E">
        <w:rPr>
          <w:rFonts w:eastAsia="新細明體"/>
          <w:b/>
          <w:lang w:eastAsia="zh-TW"/>
        </w:rPr>
        <w:t>Independent LP-SS measurement timing significantly enhances flexibility, energy efficiency, and measurement reliability compared to strict SMTC-based approaches.</w:t>
      </w:r>
      <w:r w:rsidRPr="00EF262E">
        <w:rPr>
          <w:b/>
        </w:rPr>
        <w:fldChar w:fldCharType="end"/>
      </w:r>
    </w:p>
    <w:p w14:paraId="7F434656" w14:textId="25633924" w:rsidR="00EF262E" w:rsidRPr="00EF262E" w:rsidRDefault="00EF262E" w:rsidP="003A3B3B">
      <w:pPr>
        <w:rPr>
          <w:b/>
        </w:rPr>
      </w:pPr>
      <w:r w:rsidRPr="00EF262E">
        <w:rPr>
          <w:b/>
        </w:rPr>
        <w:br/>
      </w:r>
      <w:r w:rsidRPr="00EF262E">
        <w:rPr>
          <w:b/>
        </w:rPr>
        <w:fldChar w:fldCharType="begin"/>
      </w:r>
      <w:r w:rsidRPr="00EF262E">
        <w:rPr>
          <w:b/>
        </w:rPr>
        <w:instrText xml:space="preserve"> REF _Ref194109175 \h </w:instrText>
      </w:r>
      <w:r w:rsidRPr="00EF262E">
        <w:rPr>
          <w:b/>
        </w:rPr>
      </w:r>
      <w:r w:rsidRPr="00EF262E">
        <w:rPr>
          <w:b/>
        </w:rPr>
        <w:instrText xml:space="preserve"> \* MERGEFORMAT </w:instrText>
      </w:r>
      <w:r w:rsidRPr="00EF262E">
        <w:rPr>
          <w:b/>
        </w:rPr>
        <w:fldChar w:fldCharType="separate"/>
      </w:r>
      <w:r w:rsidRPr="00EF262E">
        <w:rPr>
          <w:b/>
        </w:rPr>
        <w:t xml:space="preserve">Proposal </w:t>
      </w:r>
      <w:r w:rsidRPr="00EF262E">
        <w:rPr>
          <w:b/>
          <w:noProof/>
        </w:rPr>
        <w:t>5</w:t>
      </w:r>
      <w:r w:rsidRPr="00EF262E">
        <w:rPr>
          <w:b/>
        </w:rPr>
        <w:t xml:space="preserve">: </w:t>
      </w:r>
      <w:r w:rsidRPr="00EF262E">
        <w:rPr>
          <w:rFonts w:eastAsia="新細明體"/>
          <w:b/>
          <w:lang w:eastAsia="zh-TW"/>
        </w:rPr>
        <w:t>Eliminate SMTC-based constraints, enabling standalone LP-SS timing that is RRC-configurable and optimally aligned with actual LP-SS transmissions for improved power saving and monitoring.</w:t>
      </w:r>
      <w:r w:rsidRPr="00EF262E">
        <w:rPr>
          <w:b/>
        </w:rPr>
        <w:fldChar w:fldCharType="end"/>
      </w:r>
    </w:p>
    <w:p w14:paraId="14EF3011" w14:textId="6A93E0E2" w:rsidR="00EF262E" w:rsidRPr="00EF262E" w:rsidRDefault="00EF262E" w:rsidP="003A3B3B">
      <w:pPr>
        <w:rPr>
          <w:b/>
        </w:rPr>
      </w:pPr>
      <w:r w:rsidRPr="00EF262E">
        <w:rPr>
          <w:b/>
        </w:rPr>
        <w:br/>
      </w:r>
      <w:r w:rsidRPr="00EF262E">
        <w:rPr>
          <w:b/>
        </w:rPr>
        <w:fldChar w:fldCharType="begin"/>
      </w:r>
      <w:r w:rsidRPr="00EF262E">
        <w:rPr>
          <w:b/>
        </w:rPr>
        <w:instrText xml:space="preserve"> REF _Ref194109102 \h </w:instrText>
      </w:r>
      <w:r w:rsidRPr="00EF262E">
        <w:rPr>
          <w:b/>
        </w:rPr>
      </w:r>
      <w:r w:rsidRPr="00EF262E">
        <w:rPr>
          <w:b/>
        </w:rPr>
        <w:instrText xml:space="preserve"> \* MERGEFORMAT </w:instrText>
      </w:r>
      <w:r w:rsidRPr="00EF262E">
        <w:rPr>
          <w:b/>
        </w:rPr>
        <w:fldChar w:fldCharType="separate"/>
      </w:r>
      <w:r w:rsidRPr="00EF262E">
        <w:rPr>
          <w:b/>
        </w:rPr>
        <w:t xml:space="preserve">Observation </w:t>
      </w:r>
      <w:r w:rsidRPr="00EF262E">
        <w:rPr>
          <w:b/>
          <w:noProof/>
        </w:rPr>
        <w:t>6</w:t>
      </w:r>
      <w:r w:rsidRPr="00EF262E">
        <w:rPr>
          <w:b/>
        </w:rPr>
        <w:t xml:space="preserve">: </w:t>
      </w:r>
      <w:r w:rsidRPr="00EF262E">
        <w:rPr>
          <w:rFonts w:eastAsia="新細明體"/>
          <w:b/>
          <w:lang w:eastAsia="zh-TW"/>
        </w:rPr>
        <w:t>Existing LP-SS-based measurements apply directly to OFDM-based WUR; improved processing offers potential accuracy gains without altering fundamental definitions.</w:t>
      </w:r>
      <w:r w:rsidRPr="00EF262E">
        <w:rPr>
          <w:b/>
        </w:rPr>
        <w:fldChar w:fldCharType="end"/>
      </w:r>
    </w:p>
    <w:p w14:paraId="2A33D775" w14:textId="462730E4" w:rsidR="00EF262E" w:rsidRPr="00EF262E" w:rsidRDefault="00EF262E" w:rsidP="003A3B3B">
      <w:pPr>
        <w:rPr>
          <w:b/>
        </w:rPr>
      </w:pPr>
      <w:r w:rsidRPr="00EF262E">
        <w:rPr>
          <w:b/>
        </w:rPr>
        <w:lastRenderedPageBreak/>
        <w:br/>
      </w:r>
      <w:r w:rsidRPr="00EF262E">
        <w:rPr>
          <w:b/>
        </w:rPr>
        <w:fldChar w:fldCharType="begin"/>
      </w:r>
      <w:r w:rsidRPr="00EF262E">
        <w:rPr>
          <w:b/>
        </w:rPr>
        <w:instrText xml:space="preserve"> REF _Ref194109184 \h </w:instrText>
      </w:r>
      <w:r w:rsidRPr="00EF262E">
        <w:rPr>
          <w:b/>
        </w:rPr>
      </w:r>
      <w:r w:rsidRPr="00EF262E">
        <w:rPr>
          <w:b/>
        </w:rPr>
        <w:instrText xml:space="preserve"> \* MERGEFORMAT </w:instrText>
      </w:r>
      <w:r w:rsidRPr="00EF262E">
        <w:rPr>
          <w:b/>
        </w:rPr>
        <w:fldChar w:fldCharType="separate"/>
      </w:r>
      <w:r w:rsidRPr="00EF262E">
        <w:rPr>
          <w:b/>
        </w:rPr>
        <w:t xml:space="preserve">Proposal </w:t>
      </w:r>
      <w:r w:rsidRPr="00EF262E">
        <w:rPr>
          <w:b/>
          <w:noProof/>
        </w:rPr>
        <w:t>6</w:t>
      </w:r>
      <w:r w:rsidRPr="00EF262E">
        <w:rPr>
          <w:b/>
        </w:rPr>
        <w:t xml:space="preserve">: </w:t>
      </w:r>
      <w:r w:rsidRPr="00EF262E">
        <w:rPr>
          <w:rFonts w:eastAsia="新細明體"/>
          <w:b/>
          <w:lang w:eastAsia="zh-TW"/>
        </w:rPr>
        <w:t>Confirm unchanged measurement definitions for OFDM-based WUR; coordinate with RAN4 to address performance-validation criteria instead of redefining measurements.</w:t>
      </w:r>
      <w:r w:rsidRPr="00EF262E">
        <w:rPr>
          <w:b/>
        </w:rPr>
        <w:fldChar w:fldCharType="end"/>
      </w:r>
    </w:p>
    <w:p w14:paraId="611D263B" w14:textId="688B7F28" w:rsidR="00EF262E" w:rsidRPr="00EF262E" w:rsidRDefault="00EF262E" w:rsidP="003A3B3B">
      <w:pPr>
        <w:rPr>
          <w:b/>
        </w:rPr>
      </w:pPr>
      <w:r w:rsidRPr="00EF262E">
        <w:rPr>
          <w:b/>
        </w:rPr>
        <w:br/>
      </w:r>
      <w:r w:rsidRPr="00EF262E">
        <w:rPr>
          <w:b/>
        </w:rPr>
        <w:fldChar w:fldCharType="begin"/>
      </w:r>
      <w:r w:rsidRPr="00EF262E">
        <w:rPr>
          <w:b/>
        </w:rPr>
        <w:instrText xml:space="preserve"> REF _Ref194109108 \h </w:instrText>
      </w:r>
      <w:r w:rsidRPr="00EF262E">
        <w:rPr>
          <w:b/>
        </w:rPr>
      </w:r>
      <w:r w:rsidRPr="00EF262E">
        <w:rPr>
          <w:b/>
        </w:rPr>
        <w:instrText xml:space="preserve"> \* MERGEFORMAT </w:instrText>
      </w:r>
      <w:r w:rsidRPr="00EF262E">
        <w:rPr>
          <w:b/>
        </w:rPr>
        <w:fldChar w:fldCharType="separate"/>
      </w:r>
      <w:r w:rsidRPr="00EF262E">
        <w:rPr>
          <w:b/>
        </w:rPr>
        <w:t xml:space="preserve">Observation </w:t>
      </w:r>
      <w:r w:rsidRPr="00EF262E">
        <w:rPr>
          <w:b/>
          <w:noProof/>
        </w:rPr>
        <w:t>7</w:t>
      </w:r>
      <w:r w:rsidRPr="00EF262E">
        <w:rPr>
          <w:b/>
        </w:rPr>
        <w:t xml:space="preserve">: </w:t>
      </w:r>
      <w:r w:rsidRPr="00EF262E">
        <w:rPr>
          <w:rFonts w:eastAsia="新細明體"/>
          <w:b/>
          <w:lang w:eastAsia="zh-TW"/>
        </w:rPr>
        <w:t>Using QCL-Type C and D for LP-WUS/LP-SS signals and mapping them one-to-one to SSB beams simplifies beam detection and avoids unnecessary dynamic signaling.</w:t>
      </w:r>
      <w:r w:rsidRPr="00EF262E">
        <w:rPr>
          <w:b/>
        </w:rPr>
        <w:fldChar w:fldCharType="end"/>
      </w:r>
    </w:p>
    <w:p w14:paraId="78F24123" w14:textId="4A9A03B0" w:rsidR="00EF262E" w:rsidRPr="00EF262E" w:rsidRDefault="00EF262E" w:rsidP="003A3B3B">
      <w:pPr>
        <w:rPr>
          <w:b/>
        </w:rPr>
      </w:pPr>
      <w:r w:rsidRPr="00EF262E">
        <w:rPr>
          <w:b/>
        </w:rPr>
        <w:br/>
      </w:r>
      <w:r w:rsidRPr="00EF262E">
        <w:rPr>
          <w:b/>
        </w:rPr>
        <w:fldChar w:fldCharType="begin"/>
      </w:r>
      <w:r w:rsidRPr="00EF262E">
        <w:rPr>
          <w:b/>
        </w:rPr>
        <w:instrText xml:space="preserve"> REF _Ref194109193 \h </w:instrText>
      </w:r>
      <w:r w:rsidRPr="00EF262E">
        <w:rPr>
          <w:b/>
        </w:rPr>
      </w:r>
      <w:r w:rsidRPr="00EF262E">
        <w:rPr>
          <w:b/>
        </w:rPr>
        <w:instrText xml:space="preserve"> \* MERGEFORMAT </w:instrText>
      </w:r>
      <w:r w:rsidRPr="00EF262E">
        <w:rPr>
          <w:b/>
        </w:rPr>
        <w:fldChar w:fldCharType="separate"/>
      </w:r>
      <w:r w:rsidRPr="00EF262E">
        <w:rPr>
          <w:b/>
        </w:rPr>
        <w:t xml:space="preserve">Proposal </w:t>
      </w:r>
      <w:r w:rsidRPr="00EF262E">
        <w:rPr>
          <w:b/>
          <w:noProof/>
        </w:rPr>
        <w:t>7</w:t>
      </w:r>
      <w:r w:rsidRPr="00EF262E">
        <w:rPr>
          <w:b/>
        </w:rPr>
        <w:t xml:space="preserve">: </w:t>
      </w:r>
      <w:r w:rsidRPr="00EF262E">
        <w:rPr>
          <w:rFonts w:eastAsia="新細明體"/>
          <w:b/>
          <w:lang w:eastAsia="zh-TW"/>
        </w:rPr>
        <w:t>Fix QCL-Type C and D for stable beam association, use implicit one-to-one LP-WUS/LP-SS to SSB mapping, and add RRC signaling if partial coverage is required.</w:t>
      </w:r>
      <w:r w:rsidRPr="00EF262E">
        <w:rPr>
          <w:b/>
        </w:rPr>
        <w:fldChar w:fldCharType="end"/>
      </w:r>
    </w:p>
    <w:p w14:paraId="56CCBFD2" w14:textId="118C4ED5" w:rsidR="00EF262E" w:rsidRPr="00EF262E" w:rsidRDefault="00EF262E" w:rsidP="003A3B3B">
      <w:pPr>
        <w:rPr>
          <w:b/>
        </w:rPr>
      </w:pPr>
      <w:r w:rsidRPr="00EF262E">
        <w:rPr>
          <w:b/>
        </w:rPr>
        <w:br/>
      </w:r>
      <w:r w:rsidRPr="00EF262E">
        <w:rPr>
          <w:b/>
        </w:rPr>
        <w:fldChar w:fldCharType="begin"/>
      </w:r>
      <w:r w:rsidRPr="00EF262E">
        <w:rPr>
          <w:b/>
        </w:rPr>
        <w:instrText xml:space="preserve"> REF _Ref194109112 \h </w:instrText>
      </w:r>
      <w:r w:rsidRPr="00EF262E">
        <w:rPr>
          <w:b/>
        </w:rPr>
      </w:r>
      <w:r w:rsidRPr="00EF262E">
        <w:rPr>
          <w:b/>
        </w:rPr>
        <w:instrText xml:space="preserve"> \* MERGEFORMAT </w:instrText>
      </w:r>
      <w:r w:rsidRPr="00EF262E">
        <w:rPr>
          <w:b/>
        </w:rPr>
        <w:fldChar w:fldCharType="separate"/>
      </w:r>
      <w:r w:rsidRPr="00EF262E">
        <w:rPr>
          <w:b/>
        </w:rPr>
        <w:t xml:space="preserve">Observation </w:t>
      </w:r>
      <w:r w:rsidRPr="00EF262E">
        <w:rPr>
          <w:b/>
          <w:noProof/>
        </w:rPr>
        <w:t>8</w:t>
      </w:r>
      <w:r w:rsidRPr="00EF262E">
        <w:rPr>
          <w:b/>
        </w:rPr>
        <w:t xml:space="preserve">: </w:t>
      </w:r>
      <w:r w:rsidRPr="00EF262E">
        <w:rPr>
          <w:rFonts w:eastAsia="新細明體"/>
          <w:b/>
          <w:lang w:eastAsia="zh-TW"/>
        </w:rPr>
        <w:t>Enforcing one-to-one mapping avoids detection ambiguity, enhances beamforming gains, and ensures consistent beam coverage.</w:t>
      </w:r>
      <w:r w:rsidRPr="00EF262E">
        <w:rPr>
          <w:b/>
        </w:rPr>
        <w:fldChar w:fldCharType="end"/>
      </w:r>
    </w:p>
    <w:p w14:paraId="6810650F" w14:textId="4EB8F754" w:rsidR="00EF262E" w:rsidRPr="00EF262E" w:rsidRDefault="00EF262E" w:rsidP="003A3B3B">
      <w:pPr>
        <w:rPr>
          <w:b/>
        </w:rPr>
      </w:pPr>
      <w:r w:rsidRPr="00EF262E">
        <w:rPr>
          <w:b/>
        </w:rPr>
        <w:br/>
      </w:r>
      <w:r w:rsidRPr="00EF262E">
        <w:rPr>
          <w:b/>
        </w:rPr>
        <w:fldChar w:fldCharType="begin"/>
      </w:r>
      <w:r w:rsidRPr="00EF262E">
        <w:rPr>
          <w:b/>
        </w:rPr>
        <w:instrText xml:space="preserve"> REF _Ref194109202 \h </w:instrText>
      </w:r>
      <w:r w:rsidRPr="00EF262E">
        <w:rPr>
          <w:b/>
        </w:rPr>
      </w:r>
      <w:r w:rsidRPr="00EF262E">
        <w:rPr>
          <w:b/>
        </w:rPr>
        <w:instrText xml:space="preserve"> \* MERGEFORMAT </w:instrText>
      </w:r>
      <w:r w:rsidRPr="00EF262E">
        <w:rPr>
          <w:b/>
        </w:rPr>
        <w:fldChar w:fldCharType="separate"/>
      </w:r>
      <w:r w:rsidRPr="00EF262E">
        <w:rPr>
          <w:b/>
        </w:rPr>
        <w:t xml:space="preserve">Proposal </w:t>
      </w:r>
      <w:r w:rsidRPr="00EF262E">
        <w:rPr>
          <w:b/>
          <w:noProof/>
        </w:rPr>
        <w:t>8</w:t>
      </w:r>
      <w:r w:rsidRPr="00EF262E">
        <w:rPr>
          <w:b/>
        </w:rPr>
        <w:t xml:space="preserve">: </w:t>
      </w:r>
      <w:r w:rsidRPr="00EF262E">
        <w:rPr>
          <w:rFonts w:eastAsia="新細明體"/>
          <w:b/>
          <w:lang w:eastAsia="zh-TW"/>
        </w:rPr>
        <w:t>Mandate a strictly one-to-one beam mapping to preserve reliability, streamline beam management, and simplify UE/network implementations.</w:t>
      </w:r>
      <w:r w:rsidRPr="00EF262E">
        <w:rPr>
          <w:b/>
        </w:rPr>
        <w:fldChar w:fldCharType="end"/>
      </w:r>
    </w:p>
    <w:p w14:paraId="340D967C" w14:textId="213574CE" w:rsidR="0091744E" w:rsidRPr="003A3B3B" w:rsidRDefault="00EF262E" w:rsidP="003A3B3B">
      <w:pPr>
        <w:rPr>
          <w:b/>
        </w:rPr>
      </w:pPr>
      <w:r>
        <w:rPr>
          <w:b/>
        </w:rPr>
        <w:br/>
      </w:r>
    </w:p>
    <w:p w14:paraId="36AD409A" w14:textId="77777777" w:rsidR="00214A0A" w:rsidRDefault="00214A0A" w:rsidP="00214A0A">
      <w:pPr>
        <w:pStyle w:val="Heading1"/>
        <w:numPr>
          <w:ilvl w:val="0"/>
          <w:numId w:val="0"/>
        </w:numPr>
        <w:tabs>
          <w:tab w:val="left" w:pos="720"/>
        </w:tabs>
        <w:ind w:left="432" w:hanging="432"/>
        <w:jc w:val="both"/>
        <w:rPr>
          <w:lang w:val="en-US"/>
        </w:rPr>
      </w:pPr>
      <w:r>
        <w:rPr>
          <w:rFonts w:eastAsia="SimSun"/>
          <w:lang w:val="en-US"/>
        </w:rPr>
        <w:t xml:space="preserve">References </w:t>
      </w:r>
    </w:p>
    <w:p w14:paraId="0D484286" w14:textId="7E3E1873" w:rsidR="00AE1981" w:rsidRDefault="00AE1981" w:rsidP="00AE1981">
      <w:pPr>
        <w:numPr>
          <w:ilvl w:val="0"/>
          <w:numId w:val="15"/>
        </w:numPr>
        <w:overflowPunct/>
        <w:autoSpaceDE/>
        <w:textAlignment w:val="auto"/>
      </w:pPr>
      <w:bookmarkStart w:id="35" w:name="_Ref189856329"/>
      <w:bookmarkStart w:id="36" w:name="_Ref174135906"/>
      <w:bookmarkStart w:id="37" w:name="_Ref149935817"/>
      <w:bookmarkStart w:id="38" w:name="_Ref131794943"/>
      <w:bookmarkStart w:id="39" w:name="_Ref131684639"/>
      <w:bookmarkStart w:id="40" w:name="_Ref163135714"/>
      <w:bookmarkStart w:id="41" w:name="_Ref194066790"/>
      <w:r>
        <w:t>R1-2501585, “Summary of RAN1 agreements on LP-WUS/WUR for NR”, Rapporteur(vivo), RAN1 #120 meeting, Feb. 2025</w:t>
      </w:r>
      <w:bookmarkEnd w:id="41"/>
    </w:p>
    <w:p w14:paraId="61206225" w14:textId="61A599EE" w:rsidR="00214A0A" w:rsidRDefault="00E04321" w:rsidP="00E04321">
      <w:pPr>
        <w:numPr>
          <w:ilvl w:val="0"/>
          <w:numId w:val="15"/>
        </w:numPr>
        <w:overflowPunct/>
        <w:autoSpaceDE/>
        <w:textAlignment w:val="auto"/>
        <w:rPr>
          <w:lang w:eastAsia="en-GB"/>
        </w:rPr>
      </w:pPr>
      <w:bookmarkStart w:id="42" w:name="_Ref189825412"/>
      <w:bookmarkStart w:id="43" w:name="_Ref189856341"/>
      <w:bookmarkEnd w:id="35"/>
      <w:bookmarkEnd w:id="34"/>
      <w:bookmarkEnd w:id="36"/>
      <w:bookmarkEnd w:id="37"/>
      <w:bookmarkEnd w:id="38"/>
      <w:bookmarkEnd w:id="39"/>
      <w:bookmarkEnd w:id="40"/>
      <w:bookmarkEnd w:id="42"/>
      <w:r>
        <w:t xml:space="preserve">“Draft Report of 3GPP TSG RAN WG1 #120 v0.3.0,” MCC Support; on-line available: </w:t>
      </w:r>
      <w:bookmarkEnd w:id="43"/>
      <w:r>
        <w:fldChar w:fldCharType="begin"/>
      </w:r>
      <w:r>
        <w:instrText>HYPERLINK "https://www.3gpp.org/ftp/tsg_ran/WG1_RL1/TSGR1_120/Report"</w:instrText>
      </w:r>
      <w:r>
        <w:fldChar w:fldCharType="separate"/>
      </w:r>
      <w:r>
        <w:rPr>
          <w:rStyle w:val="Hyperlink"/>
        </w:rPr>
        <w:t>https://www.3gpp.org/ftp/tsg_ran/WG1_RL1/TSGR1_120/Report</w:t>
      </w:r>
      <w:r>
        <w:fldChar w:fldCharType="end"/>
      </w:r>
    </w:p>
    <w:sectPr w:rsidR="00214A0A">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8C2EE" w14:textId="77777777" w:rsidR="00065DCD" w:rsidRDefault="00065DCD" w:rsidP="00BB65D8">
      <w:pPr>
        <w:spacing w:after="0"/>
      </w:pPr>
      <w:r>
        <w:separator/>
      </w:r>
    </w:p>
  </w:endnote>
  <w:endnote w:type="continuationSeparator" w:id="0">
    <w:p w14:paraId="66B456DE" w14:textId="77777777" w:rsidR="00065DCD" w:rsidRDefault="00065DCD" w:rsidP="00BB65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EC2E" w14:textId="77777777" w:rsidR="000B79F4" w:rsidRDefault="000B79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FFA4B" w14:textId="77777777" w:rsidR="000B79F4" w:rsidRDefault="000B79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E63DF" w14:textId="77777777" w:rsidR="000B79F4" w:rsidRDefault="000B79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1D820" w14:textId="77777777" w:rsidR="00065DCD" w:rsidRDefault="00065DCD" w:rsidP="00BB65D8">
      <w:pPr>
        <w:spacing w:after="0"/>
      </w:pPr>
      <w:r>
        <w:separator/>
      </w:r>
    </w:p>
  </w:footnote>
  <w:footnote w:type="continuationSeparator" w:id="0">
    <w:p w14:paraId="239FF3D7" w14:textId="77777777" w:rsidR="00065DCD" w:rsidRDefault="00065DCD" w:rsidP="00BB65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B4A62" w14:textId="77777777" w:rsidR="000B79F4" w:rsidRDefault="000B79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7EA54" w14:textId="77777777" w:rsidR="000B79F4" w:rsidRDefault="000B79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078FB" w14:textId="77777777" w:rsidR="000B79F4" w:rsidRDefault="000B7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91478DE"/>
    <w:multiLevelType w:val="hybridMultilevel"/>
    <w:tmpl w:val="41165BB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AA2A3D"/>
    <w:multiLevelType w:val="multilevel"/>
    <w:tmpl w:val="2578C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5903960"/>
    <w:multiLevelType w:val="multilevel"/>
    <w:tmpl w:val="A6F6A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4855CD"/>
    <w:multiLevelType w:val="multilevel"/>
    <w:tmpl w:val="C8FC1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D90949"/>
    <w:multiLevelType w:val="multilevel"/>
    <w:tmpl w:val="AC002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4C7C754E"/>
    <w:multiLevelType w:val="hybridMultilevel"/>
    <w:tmpl w:val="EC96D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51DE7F00"/>
    <w:multiLevelType w:val="hybridMultilevel"/>
    <w:tmpl w:val="0A745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5D0CEC"/>
    <w:multiLevelType w:val="multilevel"/>
    <w:tmpl w:val="FA86A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EA45B0"/>
    <w:multiLevelType w:val="multilevel"/>
    <w:tmpl w:val="5FF6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2F299B"/>
    <w:multiLevelType w:val="multilevel"/>
    <w:tmpl w:val="C038B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9E51649"/>
    <w:multiLevelType w:val="multilevel"/>
    <w:tmpl w:val="5F68B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10"/>
  </w:num>
  <w:num w:numId="9" w16cid:durableId="1817070985">
    <w:abstractNumId w:val="8"/>
  </w:num>
  <w:num w:numId="10" w16cid:durableId="1255940425">
    <w:abstractNumId w:val="14"/>
  </w:num>
  <w:num w:numId="11" w16cid:durableId="2083480124">
    <w:abstractNumId w:val="16"/>
  </w:num>
  <w:num w:numId="12" w16cid:durableId="1069770607">
    <w:abstractNumId w:val="12"/>
  </w:num>
  <w:num w:numId="13" w16cid:durableId="1122772727">
    <w:abstractNumId w:val="13"/>
  </w:num>
  <w:num w:numId="14" w16cid:durableId="1668972487">
    <w:abstractNumId w:val="22"/>
  </w:num>
  <w:num w:numId="15" w16cid:durableId="18458244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3611459">
    <w:abstractNumId w:val="19"/>
  </w:num>
  <w:num w:numId="17" w16cid:durableId="634332556">
    <w:abstractNumId w:val="15"/>
  </w:num>
  <w:num w:numId="18" w16cid:durableId="738484831">
    <w:abstractNumId w:val="22"/>
  </w:num>
  <w:num w:numId="19" w16cid:durableId="1070157182">
    <w:abstractNumId w:val="23"/>
  </w:num>
  <w:num w:numId="20" w16cid:durableId="1032682890">
    <w:abstractNumId w:val="11"/>
  </w:num>
  <w:num w:numId="21" w16cid:durableId="561478135">
    <w:abstractNumId w:val="21"/>
  </w:num>
  <w:num w:numId="22" w16cid:durableId="569124112">
    <w:abstractNumId w:val="20"/>
  </w:num>
  <w:num w:numId="23" w16cid:durableId="41295660">
    <w:abstractNumId w:val="9"/>
  </w:num>
  <w:num w:numId="24" w16cid:durableId="1922712434">
    <w:abstractNumId w:val="10"/>
    <w:lvlOverride w:ilvl="0"/>
    <w:lvlOverride w:ilvl="1"/>
    <w:lvlOverride w:ilvl="2"/>
    <w:lvlOverride w:ilvl="3"/>
    <w:lvlOverride w:ilvl="4"/>
    <w:lvlOverride w:ilvl="5"/>
    <w:lvlOverride w:ilvl="6"/>
    <w:lvlOverride w:ilvl="7"/>
    <w:lvlOverride w:ilvl="8"/>
  </w:num>
  <w:num w:numId="25" w16cid:durableId="520819709">
    <w:abstractNumId w:val="7"/>
    <w:lvlOverride w:ilvl="0"/>
    <w:lvlOverride w:ilvl="1"/>
    <w:lvlOverride w:ilvl="2"/>
    <w:lvlOverride w:ilvl="3"/>
    <w:lvlOverride w:ilvl="4"/>
    <w:lvlOverride w:ilvl="5"/>
    <w:lvlOverride w:ilvl="6"/>
    <w:lvlOverride w:ilvl="7"/>
    <w:lvlOverride w:ilvl="8"/>
  </w:num>
  <w:num w:numId="26" w16cid:durableId="499585054">
    <w:abstractNumId w:val="7"/>
  </w:num>
  <w:num w:numId="27" w16cid:durableId="642857102">
    <w:abstractNumId w:val="18"/>
  </w:num>
  <w:num w:numId="28" w16cid:durableId="1524057481">
    <w:abstractNumId w:val="18"/>
    <w:lvlOverride w:ilvl="0"/>
    <w:lvlOverride w:ilvl="1"/>
    <w:lvlOverride w:ilvl="2"/>
    <w:lvlOverride w:ilvl="3"/>
    <w:lvlOverride w:ilvl="4"/>
    <w:lvlOverride w:ilvl="5"/>
    <w:lvlOverride w:ilvl="6"/>
    <w:lvlOverride w:ilvl="7"/>
    <w:lvlOverride w:ilvl="8"/>
  </w:num>
  <w:num w:numId="29" w16cid:durableId="577516005">
    <w:abstractNumId w:val="20"/>
    <w:lvlOverride w:ilvl="0"/>
    <w:lvlOverride w:ilvl="1"/>
    <w:lvlOverride w:ilvl="2"/>
    <w:lvlOverride w:ilvl="3"/>
    <w:lvlOverride w:ilvl="4"/>
    <w:lvlOverride w:ilvl="5"/>
    <w:lvlOverride w:ilvl="6"/>
    <w:lvlOverride w:ilvl="7"/>
    <w:lvlOverride w:ilvl="8"/>
  </w:num>
  <w:num w:numId="30" w16cid:durableId="2066948513">
    <w:abstractNumId w:val="9"/>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Y0MjM0tzA0NzcwNzNS0lEKTi0uzszPAykwrAUA2bJBKSwAAAA="/>
  </w:docVars>
  <w:rsids>
    <w:rsidRoot w:val="00086C2C"/>
    <w:rsid w:val="000218C6"/>
    <w:rsid w:val="0003405F"/>
    <w:rsid w:val="00034616"/>
    <w:rsid w:val="0006063C"/>
    <w:rsid w:val="00065DCD"/>
    <w:rsid w:val="00086C2C"/>
    <w:rsid w:val="000B79F4"/>
    <w:rsid w:val="001254E3"/>
    <w:rsid w:val="001276AC"/>
    <w:rsid w:val="0015074B"/>
    <w:rsid w:val="001E453F"/>
    <w:rsid w:val="00214A0A"/>
    <w:rsid w:val="0029639D"/>
    <w:rsid w:val="002E2D79"/>
    <w:rsid w:val="00326F90"/>
    <w:rsid w:val="0038551E"/>
    <w:rsid w:val="003A3B3B"/>
    <w:rsid w:val="00430D34"/>
    <w:rsid w:val="0044449F"/>
    <w:rsid w:val="00506F05"/>
    <w:rsid w:val="005E30E5"/>
    <w:rsid w:val="005F4310"/>
    <w:rsid w:val="0061668B"/>
    <w:rsid w:val="006E07A5"/>
    <w:rsid w:val="0070654E"/>
    <w:rsid w:val="00736F6F"/>
    <w:rsid w:val="007B2CB0"/>
    <w:rsid w:val="007E6C19"/>
    <w:rsid w:val="00850417"/>
    <w:rsid w:val="008626F2"/>
    <w:rsid w:val="0091744E"/>
    <w:rsid w:val="00994E64"/>
    <w:rsid w:val="00AA1D8D"/>
    <w:rsid w:val="00AC0AC2"/>
    <w:rsid w:val="00AE1981"/>
    <w:rsid w:val="00AF0569"/>
    <w:rsid w:val="00B47730"/>
    <w:rsid w:val="00B6578E"/>
    <w:rsid w:val="00BB2E67"/>
    <w:rsid w:val="00BB65D8"/>
    <w:rsid w:val="00BD57BA"/>
    <w:rsid w:val="00CB0664"/>
    <w:rsid w:val="00D14DF5"/>
    <w:rsid w:val="00D20CB2"/>
    <w:rsid w:val="00D97EAB"/>
    <w:rsid w:val="00DA7A9B"/>
    <w:rsid w:val="00E04321"/>
    <w:rsid w:val="00E444A2"/>
    <w:rsid w:val="00EA7A4B"/>
    <w:rsid w:val="00ED6049"/>
    <w:rsid w:val="00EF262E"/>
    <w:rsid w:val="00F5360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2BF0BCD3"/>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paragraph" w:styleId="NormalWeb">
    <w:name w:val="Normal (Web)"/>
    <w:basedOn w:val="Normal"/>
    <w:uiPriority w:val="99"/>
    <w:unhideWhenUsed/>
    <w:rsid w:val="0070654E"/>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eastAsia="zh-TW"/>
    </w:rPr>
  </w:style>
  <w:style w:type="character" w:styleId="Hyperlink">
    <w:name w:val="Hyperlink"/>
    <w:uiPriority w:val="99"/>
    <w:unhideWhenUsed/>
    <w:qFormat/>
    <w:rsid w:val="00214A0A"/>
    <w:rPr>
      <w:color w:val="0000FF"/>
      <w:u w:val="single"/>
    </w:rPr>
  </w:style>
  <w:style w:type="character" w:styleId="PlaceholderText">
    <w:name w:val="Placeholder Text"/>
    <w:basedOn w:val="DefaultParagraphFont"/>
    <w:uiPriority w:val="99"/>
    <w:semiHidden/>
    <w:rsid w:val="00D20CB2"/>
    <w:rPr>
      <w:color w:val="808080"/>
    </w:rPr>
  </w:style>
  <w:style w:type="table" w:styleId="TableGridLight">
    <w:name w:val="Grid Table Light"/>
    <w:basedOn w:val="TableNormal"/>
    <w:uiPriority w:val="99"/>
    <w:rsid w:val="007E6C19"/>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44449F"/>
    <w:rPr>
      <w:color w:val="605E5C"/>
      <w:shd w:val="clear" w:color="auto" w:fill="E1DFDD"/>
    </w:rPr>
  </w:style>
  <w:style w:type="character" w:styleId="FollowedHyperlink">
    <w:name w:val="FollowedHyperlink"/>
    <w:basedOn w:val="DefaultParagraphFont"/>
    <w:uiPriority w:val="99"/>
    <w:semiHidden/>
    <w:unhideWhenUsed/>
    <w:rsid w:val="00AE198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78785">
      <w:bodyDiv w:val="1"/>
      <w:marLeft w:val="0"/>
      <w:marRight w:val="0"/>
      <w:marTop w:val="0"/>
      <w:marBottom w:val="0"/>
      <w:divBdr>
        <w:top w:val="none" w:sz="0" w:space="0" w:color="auto"/>
        <w:left w:val="none" w:sz="0" w:space="0" w:color="auto"/>
        <w:bottom w:val="none" w:sz="0" w:space="0" w:color="auto"/>
        <w:right w:val="none" w:sz="0" w:space="0" w:color="auto"/>
      </w:divBdr>
    </w:div>
    <w:div w:id="112481773">
      <w:bodyDiv w:val="1"/>
      <w:marLeft w:val="0"/>
      <w:marRight w:val="0"/>
      <w:marTop w:val="0"/>
      <w:marBottom w:val="0"/>
      <w:divBdr>
        <w:top w:val="none" w:sz="0" w:space="0" w:color="auto"/>
        <w:left w:val="none" w:sz="0" w:space="0" w:color="auto"/>
        <w:bottom w:val="none" w:sz="0" w:space="0" w:color="auto"/>
        <w:right w:val="none" w:sz="0" w:space="0" w:color="auto"/>
      </w:divBdr>
    </w:div>
    <w:div w:id="205605451">
      <w:bodyDiv w:val="1"/>
      <w:marLeft w:val="0"/>
      <w:marRight w:val="0"/>
      <w:marTop w:val="0"/>
      <w:marBottom w:val="0"/>
      <w:divBdr>
        <w:top w:val="none" w:sz="0" w:space="0" w:color="auto"/>
        <w:left w:val="none" w:sz="0" w:space="0" w:color="auto"/>
        <w:bottom w:val="none" w:sz="0" w:space="0" w:color="auto"/>
        <w:right w:val="none" w:sz="0" w:space="0" w:color="auto"/>
      </w:divBdr>
    </w:div>
    <w:div w:id="315493478">
      <w:bodyDiv w:val="1"/>
      <w:marLeft w:val="0"/>
      <w:marRight w:val="0"/>
      <w:marTop w:val="0"/>
      <w:marBottom w:val="0"/>
      <w:divBdr>
        <w:top w:val="none" w:sz="0" w:space="0" w:color="auto"/>
        <w:left w:val="none" w:sz="0" w:space="0" w:color="auto"/>
        <w:bottom w:val="none" w:sz="0" w:space="0" w:color="auto"/>
        <w:right w:val="none" w:sz="0" w:space="0" w:color="auto"/>
      </w:divBdr>
    </w:div>
    <w:div w:id="338850246">
      <w:bodyDiv w:val="1"/>
      <w:marLeft w:val="0"/>
      <w:marRight w:val="0"/>
      <w:marTop w:val="0"/>
      <w:marBottom w:val="0"/>
      <w:divBdr>
        <w:top w:val="none" w:sz="0" w:space="0" w:color="auto"/>
        <w:left w:val="none" w:sz="0" w:space="0" w:color="auto"/>
        <w:bottom w:val="none" w:sz="0" w:space="0" w:color="auto"/>
        <w:right w:val="none" w:sz="0" w:space="0" w:color="auto"/>
      </w:divBdr>
    </w:div>
    <w:div w:id="450242905">
      <w:bodyDiv w:val="1"/>
      <w:marLeft w:val="0"/>
      <w:marRight w:val="0"/>
      <w:marTop w:val="0"/>
      <w:marBottom w:val="0"/>
      <w:divBdr>
        <w:top w:val="none" w:sz="0" w:space="0" w:color="auto"/>
        <w:left w:val="none" w:sz="0" w:space="0" w:color="auto"/>
        <w:bottom w:val="none" w:sz="0" w:space="0" w:color="auto"/>
        <w:right w:val="none" w:sz="0" w:space="0" w:color="auto"/>
      </w:divBdr>
    </w:div>
    <w:div w:id="479663475">
      <w:bodyDiv w:val="1"/>
      <w:marLeft w:val="0"/>
      <w:marRight w:val="0"/>
      <w:marTop w:val="0"/>
      <w:marBottom w:val="0"/>
      <w:divBdr>
        <w:top w:val="none" w:sz="0" w:space="0" w:color="auto"/>
        <w:left w:val="none" w:sz="0" w:space="0" w:color="auto"/>
        <w:bottom w:val="none" w:sz="0" w:space="0" w:color="auto"/>
        <w:right w:val="none" w:sz="0" w:space="0" w:color="auto"/>
      </w:divBdr>
    </w:div>
    <w:div w:id="490099398">
      <w:bodyDiv w:val="1"/>
      <w:marLeft w:val="0"/>
      <w:marRight w:val="0"/>
      <w:marTop w:val="0"/>
      <w:marBottom w:val="0"/>
      <w:divBdr>
        <w:top w:val="none" w:sz="0" w:space="0" w:color="auto"/>
        <w:left w:val="none" w:sz="0" w:space="0" w:color="auto"/>
        <w:bottom w:val="none" w:sz="0" w:space="0" w:color="auto"/>
        <w:right w:val="none" w:sz="0" w:space="0" w:color="auto"/>
      </w:divBdr>
    </w:div>
    <w:div w:id="534926651">
      <w:bodyDiv w:val="1"/>
      <w:marLeft w:val="0"/>
      <w:marRight w:val="0"/>
      <w:marTop w:val="0"/>
      <w:marBottom w:val="0"/>
      <w:divBdr>
        <w:top w:val="none" w:sz="0" w:space="0" w:color="auto"/>
        <w:left w:val="none" w:sz="0" w:space="0" w:color="auto"/>
        <w:bottom w:val="none" w:sz="0" w:space="0" w:color="auto"/>
        <w:right w:val="none" w:sz="0" w:space="0" w:color="auto"/>
      </w:divBdr>
    </w:div>
    <w:div w:id="558253246">
      <w:bodyDiv w:val="1"/>
      <w:marLeft w:val="0"/>
      <w:marRight w:val="0"/>
      <w:marTop w:val="0"/>
      <w:marBottom w:val="0"/>
      <w:divBdr>
        <w:top w:val="none" w:sz="0" w:space="0" w:color="auto"/>
        <w:left w:val="none" w:sz="0" w:space="0" w:color="auto"/>
        <w:bottom w:val="none" w:sz="0" w:space="0" w:color="auto"/>
        <w:right w:val="none" w:sz="0" w:space="0" w:color="auto"/>
      </w:divBdr>
    </w:div>
    <w:div w:id="566887371">
      <w:bodyDiv w:val="1"/>
      <w:marLeft w:val="0"/>
      <w:marRight w:val="0"/>
      <w:marTop w:val="0"/>
      <w:marBottom w:val="0"/>
      <w:divBdr>
        <w:top w:val="none" w:sz="0" w:space="0" w:color="auto"/>
        <w:left w:val="none" w:sz="0" w:space="0" w:color="auto"/>
        <w:bottom w:val="none" w:sz="0" w:space="0" w:color="auto"/>
        <w:right w:val="none" w:sz="0" w:space="0" w:color="auto"/>
      </w:divBdr>
    </w:div>
    <w:div w:id="597837574">
      <w:bodyDiv w:val="1"/>
      <w:marLeft w:val="0"/>
      <w:marRight w:val="0"/>
      <w:marTop w:val="0"/>
      <w:marBottom w:val="0"/>
      <w:divBdr>
        <w:top w:val="none" w:sz="0" w:space="0" w:color="auto"/>
        <w:left w:val="none" w:sz="0" w:space="0" w:color="auto"/>
        <w:bottom w:val="none" w:sz="0" w:space="0" w:color="auto"/>
        <w:right w:val="none" w:sz="0" w:space="0" w:color="auto"/>
      </w:divBdr>
    </w:div>
    <w:div w:id="756094240">
      <w:bodyDiv w:val="1"/>
      <w:marLeft w:val="0"/>
      <w:marRight w:val="0"/>
      <w:marTop w:val="0"/>
      <w:marBottom w:val="0"/>
      <w:divBdr>
        <w:top w:val="none" w:sz="0" w:space="0" w:color="auto"/>
        <w:left w:val="none" w:sz="0" w:space="0" w:color="auto"/>
        <w:bottom w:val="none" w:sz="0" w:space="0" w:color="auto"/>
        <w:right w:val="none" w:sz="0" w:space="0" w:color="auto"/>
      </w:divBdr>
    </w:div>
    <w:div w:id="849874631">
      <w:bodyDiv w:val="1"/>
      <w:marLeft w:val="0"/>
      <w:marRight w:val="0"/>
      <w:marTop w:val="0"/>
      <w:marBottom w:val="0"/>
      <w:divBdr>
        <w:top w:val="none" w:sz="0" w:space="0" w:color="auto"/>
        <w:left w:val="none" w:sz="0" w:space="0" w:color="auto"/>
        <w:bottom w:val="none" w:sz="0" w:space="0" w:color="auto"/>
        <w:right w:val="none" w:sz="0" w:space="0" w:color="auto"/>
      </w:divBdr>
    </w:div>
    <w:div w:id="917518767">
      <w:bodyDiv w:val="1"/>
      <w:marLeft w:val="0"/>
      <w:marRight w:val="0"/>
      <w:marTop w:val="0"/>
      <w:marBottom w:val="0"/>
      <w:divBdr>
        <w:top w:val="none" w:sz="0" w:space="0" w:color="auto"/>
        <w:left w:val="none" w:sz="0" w:space="0" w:color="auto"/>
        <w:bottom w:val="none" w:sz="0" w:space="0" w:color="auto"/>
        <w:right w:val="none" w:sz="0" w:space="0" w:color="auto"/>
      </w:divBdr>
    </w:div>
    <w:div w:id="931813677">
      <w:bodyDiv w:val="1"/>
      <w:marLeft w:val="0"/>
      <w:marRight w:val="0"/>
      <w:marTop w:val="0"/>
      <w:marBottom w:val="0"/>
      <w:divBdr>
        <w:top w:val="none" w:sz="0" w:space="0" w:color="auto"/>
        <w:left w:val="none" w:sz="0" w:space="0" w:color="auto"/>
        <w:bottom w:val="none" w:sz="0" w:space="0" w:color="auto"/>
        <w:right w:val="none" w:sz="0" w:space="0" w:color="auto"/>
      </w:divBdr>
    </w:div>
    <w:div w:id="1128817864">
      <w:bodyDiv w:val="1"/>
      <w:marLeft w:val="0"/>
      <w:marRight w:val="0"/>
      <w:marTop w:val="0"/>
      <w:marBottom w:val="0"/>
      <w:divBdr>
        <w:top w:val="none" w:sz="0" w:space="0" w:color="auto"/>
        <w:left w:val="none" w:sz="0" w:space="0" w:color="auto"/>
        <w:bottom w:val="none" w:sz="0" w:space="0" w:color="auto"/>
        <w:right w:val="none" w:sz="0" w:space="0" w:color="auto"/>
      </w:divBdr>
    </w:div>
    <w:div w:id="1159229366">
      <w:bodyDiv w:val="1"/>
      <w:marLeft w:val="0"/>
      <w:marRight w:val="0"/>
      <w:marTop w:val="0"/>
      <w:marBottom w:val="0"/>
      <w:divBdr>
        <w:top w:val="none" w:sz="0" w:space="0" w:color="auto"/>
        <w:left w:val="none" w:sz="0" w:space="0" w:color="auto"/>
        <w:bottom w:val="none" w:sz="0" w:space="0" w:color="auto"/>
        <w:right w:val="none" w:sz="0" w:space="0" w:color="auto"/>
      </w:divBdr>
    </w:div>
    <w:div w:id="1196384276">
      <w:bodyDiv w:val="1"/>
      <w:marLeft w:val="0"/>
      <w:marRight w:val="0"/>
      <w:marTop w:val="0"/>
      <w:marBottom w:val="0"/>
      <w:divBdr>
        <w:top w:val="none" w:sz="0" w:space="0" w:color="auto"/>
        <w:left w:val="none" w:sz="0" w:space="0" w:color="auto"/>
        <w:bottom w:val="none" w:sz="0" w:space="0" w:color="auto"/>
        <w:right w:val="none" w:sz="0" w:space="0" w:color="auto"/>
      </w:divBdr>
    </w:div>
    <w:div w:id="1240404884">
      <w:bodyDiv w:val="1"/>
      <w:marLeft w:val="0"/>
      <w:marRight w:val="0"/>
      <w:marTop w:val="0"/>
      <w:marBottom w:val="0"/>
      <w:divBdr>
        <w:top w:val="none" w:sz="0" w:space="0" w:color="auto"/>
        <w:left w:val="none" w:sz="0" w:space="0" w:color="auto"/>
        <w:bottom w:val="none" w:sz="0" w:space="0" w:color="auto"/>
        <w:right w:val="none" w:sz="0" w:space="0" w:color="auto"/>
      </w:divBdr>
    </w:div>
    <w:div w:id="1303460303">
      <w:bodyDiv w:val="1"/>
      <w:marLeft w:val="0"/>
      <w:marRight w:val="0"/>
      <w:marTop w:val="0"/>
      <w:marBottom w:val="0"/>
      <w:divBdr>
        <w:top w:val="none" w:sz="0" w:space="0" w:color="auto"/>
        <w:left w:val="none" w:sz="0" w:space="0" w:color="auto"/>
        <w:bottom w:val="none" w:sz="0" w:space="0" w:color="auto"/>
        <w:right w:val="none" w:sz="0" w:space="0" w:color="auto"/>
      </w:divBdr>
    </w:div>
    <w:div w:id="1306351352">
      <w:bodyDiv w:val="1"/>
      <w:marLeft w:val="0"/>
      <w:marRight w:val="0"/>
      <w:marTop w:val="0"/>
      <w:marBottom w:val="0"/>
      <w:divBdr>
        <w:top w:val="none" w:sz="0" w:space="0" w:color="auto"/>
        <w:left w:val="none" w:sz="0" w:space="0" w:color="auto"/>
        <w:bottom w:val="none" w:sz="0" w:space="0" w:color="auto"/>
        <w:right w:val="none" w:sz="0" w:space="0" w:color="auto"/>
      </w:divBdr>
    </w:div>
    <w:div w:id="1325009182">
      <w:bodyDiv w:val="1"/>
      <w:marLeft w:val="0"/>
      <w:marRight w:val="0"/>
      <w:marTop w:val="0"/>
      <w:marBottom w:val="0"/>
      <w:divBdr>
        <w:top w:val="none" w:sz="0" w:space="0" w:color="auto"/>
        <w:left w:val="none" w:sz="0" w:space="0" w:color="auto"/>
        <w:bottom w:val="none" w:sz="0" w:space="0" w:color="auto"/>
        <w:right w:val="none" w:sz="0" w:space="0" w:color="auto"/>
      </w:divBdr>
    </w:div>
    <w:div w:id="1396706762">
      <w:bodyDiv w:val="1"/>
      <w:marLeft w:val="0"/>
      <w:marRight w:val="0"/>
      <w:marTop w:val="0"/>
      <w:marBottom w:val="0"/>
      <w:divBdr>
        <w:top w:val="none" w:sz="0" w:space="0" w:color="auto"/>
        <w:left w:val="none" w:sz="0" w:space="0" w:color="auto"/>
        <w:bottom w:val="none" w:sz="0" w:space="0" w:color="auto"/>
        <w:right w:val="none" w:sz="0" w:space="0" w:color="auto"/>
      </w:divBdr>
    </w:div>
    <w:div w:id="1404529840">
      <w:bodyDiv w:val="1"/>
      <w:marLeft w:val="0"/>
      <w:marRight w:val="0"/>
      <w:marTop w:val="0"/>
      <w:marBottom w:val="0"/>
      <w:divBdr>
        <w:top w:val="none" w:sz="0" w:space="0" w:color="auto"/>
        <w:left w:val="none" w:sz="0" w:space="0" w:color="auto"/>
        <w:bottom w:val="none" w:sz="0" w:space="0" w:color="auto"/>
        <w:right w:val="none" w:sz="0" w:space="0" w:color="auto"/>
      </w:divBdr>
    </w:div>
    <w:div w:id="1451313136">
      <w:bodyDiv w:val="1"/>
      <w:marLeft w:val="0"/>
      <w:marRight w:val="0"/>
      <w:marTop w:val="0"/>
      <w:marBottom w:val="0"/>
      <w:divBdr>
        <w:top w:val="none" w:sz="0" w:space="0" w:color="auto"/>
        <w:left w:val="none" w:sz="0" w:space="0" w:color="auto"/>
        <w:bottom w:val="none" w:sz="0" w:space="0" w:color="auto"/>
        <w:right w:val="none" w:sz="0" w:space="0" w:color="auto"/>
      </w:divBdr>
    </w:div>
    <w:div w:id="1484155421">
      <w:bodyDiv w:val="1"/>
      <w:marLeft w:val="0"/>
      <w:marRight w:val="0"/>
      <w:marTop w:val="0"/>
      <w:marBottom w:val="0"/>
      <w:divBdr>
        <w:top w:val="none" w:sz="0" w:space="0" w:color="auto"/>
        <w:left w:val="none" w:sz="0" w:space="0" w:color="auto"/>
        <w:bottom w:val="none" w:sz="0" w:space="0" w:color="auto"/>
        <w:right w:val="none" w:sz="0" w:space="0" w:color="auto"/>
      </w:divBdr>
    </w:div>
    <w:div w:id="1494183305">
      <w:bodyDiv w:val="1"/>
      <w:marLeft w:val="0"/>
      <w:marRight w:val="0"/>
      <w:marTop w:val="0"/>
      <w:marBottom w:val="0"/>
      <w:divBdr>
        <w:top w:val="none" w:sz="0" w:space="0" w:color="auto"/>
        <w:left w:val="none" w:sz="0" w:space="0" w:color="auto"/>
        <w:bottom w:val="none" w:sz="0" w:space="0" w:color="auto"/>
        <w:right w:val="none" w:sz="0" w:space="0" w:color="auto"/>
      </w:divBdr>
    </w:div>
    <w:div w:id="1510557839">
      <w:bodyDiv w:val="1"/>
      <w:marLeft w:val="0"/>
      <w:marRight w:val="0"/>
      <w:marTop w:val="0"/>
      <w:marBottom w:val="0"/>
      <w:divBdr>
        <w:top w:val="none" w:sz="0" w:space="0" w:color="auto"/>
        <w:left w:val="none" w:sz="0" w:space="0" w:color="auto"/>
        <w:bottom w:val="none" w:sz="0" w:space="0" w:color="auto"/>
        <w:right w:val="none" w:sz="0" w:space="0" w:color="auto"/>
      </w:divBdr>
    </w:div>
    <w:div w:id="1510633568">
      <w:bodyDiv w:val="1"/>
      <w:marLeft w:val="0"/>
      <w:marRight w:val="0"/>
      <w:marTop w:val="0"/>
      <w:marBottom w:val="0"/>
      <w:divBdr>
        <w:top w:val="none" w:sz="0" w:space="0" w:color="auto"/>
        <w:left w:val="none" w:sz="0" w:space="0" w:color="auto"/>
        <w:bottom w:val="none" w:sz="0" w:space="0" w:color="auto"/>
        <w:right w:val="none" w:sz="0" w:space="0" w:color="auto"/>
      </w:divBdr>
    </w:div>
    <w:div w:id="1511336576">
      <w:bodyDiv w:val="1"/>
      <w:marLeft w:val="0"/>
      <w:marRight w:val="0"/>
      <w:marTop w:val="0"/>
      <w:marBottom w:val="0"/>
      <w:divBdr>
        <w:top w:val="none" w:sz="0" w:space="0" w:color="auto"/>
        <w:left w:val="none" w:sz="0" w:space="0" w:color="auto"/>
        <w:bottom w:val="none" w:sz="0" w:space="0" w:color="auto"/>
        <w:right w:val="none" w:sz="0" w:space="0" w:color="auto"/>
      </w:divBdr>
    </w:div>
    <w:div w:id="1516269084">
      <w:bodyDiv w:val="1"/>
      <w:marLeft w:val="0"/>
      <w:marRight w:val="0"/>
      <w:marTop w:val="0"/>
      <w:marBottom w:val="0"/>
      <w:divBdr>
        <w:top w:val="none" w:sz="0" w:space="0" w:color="auto"/>
        <w:left w:val="none" w:sz="0" w:space="0" w:color="auto"/>
        <w:bottom w:val="none" w:sz="0" w:space="0" w:color="auto"/>
        <w:right w:val="none" w:sz="0" w:space="0" w:color="auto"/>
      </w:divBdr>
    </w:div>
    <w:div w:id="1554272961">
      <w:bodyDiv w:val="1"/>
      <w:marLeft w:val="0"/>
      <w:marRight w:val="0"/>
      <w:marTop w:val="0"/>
      <w:marBottom w:val="0"/>
      <w:divBdr>
        <w:top w:val="none" w:sz="0" w:space="0" w:color="auto"/>
        <w:left w:val="none" w:sz="0" w:space="0" w:color="auto"/>
        <w:bottom w:val="none" w:sz="0" w:space="0" w:color="auto"/>
        <w:right w:val="none" w:sz="0" w:space="0" w:color="auto"/>
      </w:divBdr>
    </w:div>
    <w:div w:id="1566528028">
      <w:bodyDiv w:val="1"/>
      <w:marLeft w:val="0"/>
      <w:marRight w:val="0"/>
      <w:marTop w:val="0"/>
      <w:marBottom w:val="0"/>
      <w:divBdr>
        <w:top w:val="none" w:sz="0" w:space="0" w:color="auto"/>
        <w:left w:val="none" w:sz="0" w:space="0" w:color="auto"/>
        <w:bottom w:val="none" w:sz="0" w:space="0" w:color="auto"/>
        <w:right w:val="none" w:sz="0" w:space="0" w:color="auto"/>
      </w:divBdr>
    </w:div>
    <w:div w:id="1578395799">
      <w:bodyDiv w:val="1"/>
      <w:marLeft w:val="0"/>
      <w:marRight w:val="0"/>
      <w:marTop w:val="0"/>
      <w:marBottom w:val="0"/>
      <w:divBdr>
        <w:top w:val="none" w:sz="0" w:space="0" w:color="auto"/>
        <w:left w:val="none" w:sz="0" w:space="0" w:color="auto"/>
        <w:bottom w:val="none" w:sz="0" w:space="0" w:color="auto"/>
        <w:right w:val="none" w:sz="0" w:space="0" w:color="auto"/>
      </w:divBdr>
    </w:div>
    <w:div w:id="1609897716">
      <w:bodyDiv w:val="1"/>
      <w:marLeft w:val="0"/>
      <w:marRight w:val="0"/>
      <w:marTop w:val="0"/>
      <w:marBottom w:val="0"/>
      <w:divBdr>
        <w:top w:val="none" w:sz="0" w:space="0" w:color="auto"/>
        <w:left w:val="none" w:sz="0" w:space="0" w:color="auto"/>
        <w:bottom w:val="none" w:sz="0" w:space="0" w:color="auto"/>
        <w:right w:val="none" w:sz="0" w:space="0" w:color="auto"/>
      </w:divBdr>
    </w:div>
    <w:div w:id="1655640169">
      <w:bodyDiv w:val="1"/>
      <w:marLeft w:val="0"/>
      <w:marRight w:val="0"/>
      <w:marTop w:val="0"/>
      <w:marBottom w:val="0"/>
      <w:divBdr>
        <w:top w:val="none" w:sz="0" w:space="0" w:color="auto"/>
        <w:left w:val="none" w:sz="0" w:space="0" w:color="auto"/>
        <w:bottom w:val="none" w:sz="0" w:space="0" w:color="auto"/>
        <w:right w:val="none" w:sz="0" w:space="0" w:color="auto"/>
      </w:divBdr>
    </w:div>
    <w:div w:id="1710186342">
      <w:bodyDiv w:val="1"/>
      <w:marLeft w:val="0"/>
      <w:marRight w:val="0"/>
      <w:marTop w:val="0"/>
      <w:marBottom w:val="0"/>
      <w:divBdr>
        <w:top w:val="none" w:sz="0" w:space="0" w:color="auto"/>
        <w:left w:val="none" w:sz="0" w:space="0" w:color="auto"/>
        <w:bottom w:val="none" w:sz="0" w:space="0" w:color="auto"/>
        <w:right w:val="none" w:sz="0" w:space="0" w:color="auto"/>
      </w:divBdr>
    </w:div>
    <w:div w:id="1712730479">
      <w:bodyDiv w:val="1"/>
      <w:marLeft w:val="0"/>
      <w:marRight w:val="0"/>
      <w:marTop w:val="0"/>
      <w:marBottom w:val="0"/>
      <w:divBdr>
        <w:top w:val="none" w:sz="0" w:space="0" w:color="auto"/>
        <w:left w:val="none" w:sz="0" w:space="0" w:color="auto"/>
        <w:bottom w:val="none" w:sz="0" w:space="0" w:color="auto"/>
        <w:right w:val="none" w:sz="0" w:space="0" w:color="auto"/>
      </w:divBdr>
    </w:div>
    <w:div w:id="1734308562">
      <w:bodyDiv w:val="1"/>
      <w:marLeft w:val="0"/>
      <w:marRight w:val="0"/>
      <w:marTop w:val="0"/>
      <w:marBottom w:val="0"/>
      <w:divBdr>
        <w:top w:val="none" w:sz="0" w:space="0" w:color="auto"/>
        <w:left w:val="none" w:sz="0" w:space="0" w:color="auto"/>
        <w:bottom w:val="none" w:sz="0" w:space="0" w:color="auto"/>
        <w:right w:val="none" w:sz="0" w:space="0" w:color="auto"/>
      </w:divBdr>
    </w:div>
    <w:div w:id="1767799374">
      <w:bodyDiv w:val="1"/>
      <w:marLeft w:val="0"/>
      <w:marRight w:val="0"/>
      <w:marTop w:val="0"/>
      <w:marBottom w:val="0"/>
      <w:divBdr>
        <w:top w:val="none" w:sz="0" w:space="0" w:color="auto"/>
        <w:left w:val="none" w:sz="0" w:space="0" w:color="auto"/>
        <w:bottom w:val="none" w:sz="0" w:space="0" w:color="auto"/>
        <w:right w:val="none" w:sz="0" w:space="0" w:color="auto"/>
      </w:divBdr>
    </w:div>
    <w:div w:id="1806462311">
      <w:bodyDiv w:val="1"/>
      <w:marLeft w:val="0"/>
      <w:marRight w:val="0"/>
      <w:marTop w:val="0"/>
      <w:marBottom w:val="0"/>
      <w:divBdr>
        <w:top w:val="none" w:sz="0" w:space="0" w:color="auto"/>
        <w:left w:val="none" w:sz="0" w:space="0" w:color="auto"/>
        <w:bottom w:val="none" w:sz="0" w:space="0" w:color="auto"/>
        <w:right w:val="none" w:sz="0" w:space="0" w:color="auto"/>
      </w:divBdr>
    </w:div>
    <w:div w:id="18467483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tdoc.dotx</Template>
  <TotalTime>366</TotalTime>
  <Pages>7</Pages>
  <Words>2712</Words>
  <Characters>15462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None</dc:description>
  <cp:lastModifiedBy>Weide Wu</cp:lastModifiedBy>
  <cp:revision>18</cp:revision>
  <dcterms:created xsi:type="dcterms:W3CDTF">2025-03-27T12:51:00Z</dcterms:created>
  <dcterms:modified xsi:type="dcterms:W3CDTF">2025-03-28T20:07:00Z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